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ind w:firstLine="0" w:firstLineChars="0"/>
        <w:jc w:val="center"/>
        <w:rPr>
          <w:rFonts w:hint="eastAsia" w:ascii="仿宋_GB2312" w:hAnsi="华文仿宋" w:eastAsia="仿宋_GB2312"/>
          <w:b/>
          <w:color w:val="000000"/>
          <w:w w:val="80"/>
          <w:sz w:val="84"/>
          <w:szCs w:val="84"/>
        </w:rPr>
      </w:pPr>
      <w:r>
        <w:rPr>
          <w:rFonts w:hint="eastAsia" w:ascii="仿宋_GB2312" w:hAnsi="华文仿宋" w:eastAsia="仿宋_GB2312"/>
          <w:b/>
          <w:color w:val="000000"/>
          <w:w w:val="80"/>
          <w:sz w:val="84"/>
          <w:szCs w:val="84"/>
        </w:rPr>
        <w:t>武 昌 首 义 学 院</w:t>
      </w:r>
    </w:p>
    <w:p>
      <w:pPr>
        <w:spacing w:line="1600" w:lineRule="exact"/>
        <w:ind w:firstLine="0" w:firstLineChars="0"/>
        <w:jc w:val="center"/>
        <w:rPr>
          <w:rFonts w:hint="eastAsia" w:ascii="仿宋_GB2312" w:hAnsi="华文仿宋" w:eastAsia="仿宋_GB2312"/>
          <w:b/>
          <w:color w:val="000000"/>
          <w:spacing w:val="26"/>
          <w:w w:val="80"/>
          <w:kern w:val="116"/>
          <w:sz w:val="84"/>
          <w:szCs w:val="84"/>
        </w:rPr>
      </w:pPr>
      <w:r>
        <w:rPr>
          <w:rFonts w:hint="eastAsia" w:ascii="仿宋_GB2312" w:hAnsi="华文仿宋" w:eastAsia="仿宋_GB2312"/>
          <w:b/>
          <w:color w:val="000000"/>
          <w:w w:val="80"/>
          <w:sz w:val="84"/>
          <w:szCs w:val="84"/>
          <w:lang w:val="en-US" w:eastAsia="zh-CN"/>
        </w:rPr>
        <w:t>通识教育</w:t>
      </w:r>
      <w:r>
        <w:rPr>
          <w:rFonts w:hint="eastAsia" w:ascii="仿宋_GB2312" w:hAnsi="华文仿宋" w:eastAsia="仿宋_GB2312"/>
          <w:b/>
          <w:color w:val="000000"/>
          <w:w w:val="80"/>
          <w:sz w:val="84"/>
          <w:szCs w:val="84"/>
        </w:rPr>
        <w:t>选修课选课指南</w:t>
      </w:r>
    </w:p>
    <w:p>
      <w:pPr>
        <w:spacing w:before="468" w:beforeLines="150"/>
        <w:ind w:firstLine="198" w:firstLineChars="55"/>
        <w:jc w:val="center"/>
        <w:rPr>
          <w:rFonts w:hint="eastAsia" w:ascii="宋体" w:hAnsi="宋体"/>
          <w:color w:val="000000"/>
          <w:sz w:val="36"/>
          <w:szCs w:val="36"/>
        </w:rPr>
      </w:pPr>
      <w:r>
        <w:rPr>
          <w:rFonts w:hint="eastAsia" w:ascii="宋体" w:hAnsi="宋体"/>
          <w:color w:val="000000"/>
          <w:sz w:val="36"/>
          <w:szCs w:val="36"/>
        </w:rPr>
        <w:t>202</w:t>
      </w:r>
      <w:r>
        <w:rPr>
          <w:rFonts w:hint="eastAsia" w:ascii="宋体" w:hAnsi="宋体"/>
          <w:color w:val="000000"/>
          <w:sz w:val="36"/>
          <w:szCs w:val="36"/>
          <w:lang w:val="en-US" w:eastAsia="zh-CN"/>
        </w:rPr>
        <w:t>2</w:t>
      </w:r>
      <w:r>
        <w:rPr>
          <w:rFonts w:hint="eastAsia" w:ascii="宋体" w:hAnsi="宋体"/>
          <w:color w:val="000000"/>
          <w:sz w:val="36"/>
          <w:szCs w:val="36"/>
        </w:rPr>
        <w:t>～202</w:t>
      </w:r>
      <w:r>
        <w:rPr>
          <w:rFonts w:hint="eastAsia" w:ascii="宋体" w:hAnsi="宋体"/>
          <w:color w:val="000000"/>
          <w:sz w:val="36"/>
          <w:szCs w:val="36"/>
          <w:lang w:val="en-US" w:eastAsia="zh-CN"/>
        </w:rPr>
        <w:t>3</w:t>
      </w:r>
      <w:r>
        <w:rPr>
          <w:rFonts w:hint="eastAsia" w:ascii="宋体" w:hAnsi="宋体"/>
          <w:color w:val="000000"/>
          <w:sz w:val="36"/>
          <w:szCs w:val="36"/>
        </w:rPr>
        <w:t>学年度第</w:t>
      </w:r>
      <w:r>
        <w:rPr>
          <w:rFonts w:hint="eastAsia" w:ascii="宋体" w:hAnsi="宋体"/>
          <w:color w:val="000000"/>
          <w:sz w:val="36"/>
          <w:szCs w:val="36"/>
          <w:lang w:val="en-US" w:eastAsia="zh-CN"/>
        </w:rPr>
        <w:t>一</w:t>
      </w:r>
      <w:r>
        <w:rPr>
          <w:rFonts w:hint="eastAsia" w:ascii="宋体" w:hAnsi="宋体"/>
          <w:color w:val="000000"/>
          <w:sz w:val="36"/>
          <w:szCs w:val="36"/>
        </w:rPr>
        <w:t>学期</w:t>
      </w:r>
    </w:p>
    <w:p>
      <w:pPr>
        <w:spacing w:before="468" w:beforeLines="150"/>
        <w:ind w:firstLine="0" w:firstLineChars="0"/>
        <w:rPr>
          <w:rFonts w:hint="eastAsia" w:ascii="华文隶书" w:eastAsia="华文隶书"/>
          <w:color w:val="000000"/>
          <w:sz w:val="36"/>
        </w:rPr>
      </w:pPr>
    </w:p>
    <w:p>
      <w:pPr>
        <w:spacing w:before="468" w:beforeLines="150"/>
        <w:ind w:firstLine="0" w:firstLineChars="0"/>
        <w:rPr>
          <w:rFonts w:hint="eastAsia" w:ascii="华文隶书" w:eastAsia="华文隶书"/>
          <w:color w:val="000000"/>
          <w:sz w:val="36"/>
        </w:rPr>
      </w:pPr>
    </w:p>
    <w:p>
      <w:pPr>
        <w:spacing w:before="468" w:beforeLines="150"/>
        <w:ind w:firstLine="0" w:firstLineChars="0"/>
        <w:rPr>
          <w:rFonts w:hint="eastAsia" w:ascii="华文隶书" w:eastAsia="华文隶书"/>
          <w:color w:val="000000"/>
          <w:sz w:val="36"/>
        </w:rPr>
      </w:pPr>
    </w:p>
    <w:p>
      <w:pPr>
        <w:spacing w:before="468" w:beforeLines="150"/>
        <w:ind w:firstLine="0" w:firstLineChars="0"/>
        <w:rPr>
          <w:rFonts w:hint="eastAsia" w:ascii="华文隶书" w:eastAsia="华文隶书"/>
          <w:color w:val="000000"/>
          <w:sz w:val="36"/>
        </w:rPr>
      </w:pPr>
    </w:p>
    <w:p>
      <w:pPr>
        <w:spacing w:before="468" w:beforeLines="150"/>
        <w:ind w:firstLine="0" w:firstLineChars="0"/>
        <w:rPr>
          <w:rFonts w:hint="eastAsia" w:ascii="华文隶书" w:eastAsia="华文隶书"/>
          <w:color w:val="000000"/>
          <w:sz w:val="36"/>
        </w:rPr>
      </w:pPr>
    </w:p>
    <w:p>
      <w:pPr>
        <w:spacing w:line="240" w:lineRule="auto"/>
        <w:ind w:firstLine="0" w:firstLineChars="0"/>
        <w:rPr>
          <w:rFonts w:hint="eastAsia" w:ascii="华文隶书" w:eastAsia="华文隶书"/>
          <w:color w:val="000000"/>
          <w:kern w:val="0"/>
          <w:sz w:val="36"/>
        </w:rPr>
      </w:pPr>
    </w:p>
    <w:p>
      <w:pPr>
        <w:spacing w:line="480" w:lineRule="auto"/>
        <w:ind w:firstLine="0" w:firstLineChars="0"/>
        <w:jc w:val="center"/>
        <w:rPr>
          <w:rFonts w:hint="eastAsia" w:ascii="黑体" w:hAnsi="宋体" w:eastAsia="黑体"/>
          <w:color w:val="000000"/>
          <w:kern w:val="0"/>
          <w:sz w:val="36"/>
        </w:rPr>
      </w:pPr>
      <w:r>
        <w:rPr>
          <w:rFonts w:hint="eastAsia" w:ascii="黑体" w:hAnsi="宋体" w:eastAsia="黑体"/>
          <w:color w:val="000000"/>
          <w:kern w:val="0"/>
          <w:sz w:val="36"/>
        </w:rPr>
        <w:t>武昌首义学院教务处</w:t>
      </w:r>
    </w:p>
    <w:p>
      <w:pPr>
        <w:pStyle w:val="2"/>
        <w:spacing w:line="480" w:lineRule="auto"/>
        <w:ind w:leftChars="0"/>
        <w:jc w:val="center"/>
        <w:rPr>
          <w:rFonts w:hint="eastAsia"/>
          <w:color w:val="000000"/>
          <w:sz w:val="32"/>
          <w:szCs w:val="32"/>
        </w:rPr>
      </w:pPr>
      <w:r>
        <w:rPr>
          <w:rFonts w:hint="eastAsia" w:ascii="黑体" w:eastAsia="黑体"/>
          <w:color w:val="000000"/>
          <w:sz w:val="32"/>
          <w:szCs w:val="32"/>
        </w:rPr>
        <w:t>二〇二</w:t>
      </w:r>
      <w:r>
        <w:rPr>
          <w:rFonts w:hint="eastAsia" w:ascii="黑体" w:eastAsia="黑体"/>
          <w:color w:val="000000"/>
          <w:sz w:val="32"/>
          <w:szCs w:val="32"/>
          <w:lang w:val="en-US" w:eastAsia="zh-CN"/>
        </w:rPr>
        <w:t>二</w:t>
      </w:r>
      <w:r>
        <w:rPr>
          <w:rFonts w:hint="eastAsia" w:ascii="黑体" w:eastAsia="黑体"/>
          <w:color w:val="000000"/>
          <w:sz w:val="32"/>
          <w:szCs w:val="32"/>
        </w:rPr>
        <w:t>年</w:t>
      </w:r>
      <w:r>
        <w:rPr>
          <w:rFonts w:hint="eastAsia" w:ascii="黑体" w:eastAsia="黑体"/>
          <w:color w:val="000000"/>
          <w:sz w:val="32"/>
          <w:szCs w:val="32"/>
          <w:lang w:val="en-US" w:eastAsia="zh-CN"/>
        </w:rPr>
        <w:t>八</w:t>
      </w:r>
      <w:r>
        <w:rPr>
          <w:rFonts w:hint="eastAsia" w:ascii="黑体" w:eastAsia="黑体"/>
          <w:color w:val="000000"/>
          <w:sz w:val="32"/>
          <w:szCs w:val="32"/>
        </w:rPr>
        <w:t>月</w:t>
      </w:r>
    </w:p>
    <w:p>
      <w:pPr>
        <w:ind w:firstLine="480"/>
        <w:rPr>
          <w:rFonts w:hint="eastAsia"/>
          <w:color w:val="000000"/>
        </w:rPr>
      </w:pPr>
    </w:p>
    <w:p>
      <w:pPr>
        <w:pStyle w:val="5"/>
        <w:tabs>
          <w:tab w:val="right" w:leader="dot" w:pos="8306"/>
        </w:tabs>
        <w:rPr>
          <w:rFonts w:hint="eastAsia"/>
        </w:rPr>
        <w:sectPr>
          <w:pgSz w:w="11906" w:h="16838"/>
          <w:pgMar w:top="1440" w:right="1800" w:bottom="1440" w:left="1800" w:header="851" w:footer="992" w:gutter="0"/>
          <w:cols w:space="425" w:num="1"/>
          <w:docGrid w:type="lines" w:linePitch="312" w:charSpace="0"/>
        </w:sectPr>
      </w:pPr>
    </w:p>
    <w:p>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目  录</w:t>
      </w:r>
    </w:p>
    <w:p>
      <w:pPr>
        <w:pStyle w:val="5"/>
        <w:tabs>
          <w:tab w:val="right" w:leader="dot" w:pos="8306"/>
        </w:tabs>
        <w:rPr>
          <w:rFonts w:hint="eastAsia"/>
        </w:rPr>
      </w:pP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"1-1"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_Toc25462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武昌首义学院通识教育选修课程建设与管理办法</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PAGEREF _Toc25462 \h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bCs/>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_Toc2784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bCs/>
          <w:sz w:val="24"/>
          <w:szCs w:val="24"/>
        </w:rPr>
        <w:t>第一部分</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我校自主开设的通识教育选修课课程简介</w:t>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_Toc7455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英语演讲艺术（一）</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_Toc7455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_Toc15640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楚艺术与设计创新</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_Toc18557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插画创作</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_Toc18557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_Toc22029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逻辑与幽默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_Toc22029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_Toc23570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舞台主持艺术</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_Toc23570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_Toc24920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艺术实践—现代舞</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0</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_Toc20323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艺术实践—钢琴</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1</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_Toc24988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合唱与指挥</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1</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_Toc21523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大学音乐</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2</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_Toc1719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艺术实践—吉他</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2</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芭蕾形体训练</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3</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_Toc3979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大众艺术体操</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数学基础强化A</w:t>
      </w:r>
      <w:r>
        <w:rPr>
          <w:rFonts w:hint="eastAsia" w:asciiTheme="minorEastAsia" w:hAnsiTheme="minorEastAsia" w:cstheme="minorEastAsia"/>
          <w:sz w:val="24"/>
          <w:szCs w:val="24"/>
          <w:lang w:val="en-US" w:eastAsia="zh-CN"/>
        </w:rPr>
        <w:t>..................................................... 14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第二部分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“智慧树”网络在线通识课（见智慧树</w:t>
      </w:r>
      <w:r>
        <w:rPr>
          <w:rFonts w:hint="eastAsia" w:asciiTheme="minorEastAsia" w:hAnsiTheme="minorEastAsia" w:cstheme="minorEastAsia"/>
          <w:b/>
          <w:bCs/>
          <w:sz w:val="24"/>
          <w:szCs w:val="24"/>
          <w:lang w:val="en-US" w:eastAsia="zh-CN"/>
        </w:rPr>
        <w:t>官网</w:t>
      </w:r>
      <w:r>
        <w:rPr>
          <w:rFonts w:hint="eastAsia" w:asciiTheme="minorEastAsia" w:hAnsiTheme="minorEastAsia" w:eastAsiaTheme="minorEastAsia" w:cstheme="minorEastAsia"/>
          <w:b/>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第三部分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“超星尔雅”网络课程（见武昌首义学院网络教学平台）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bookmarkStart w:id="11" w:name="_GoBack"/>
      <w:bookmarkEnd w:id="1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Theme="minorEastAsia" w:hAnsiTheme="minorEastAsia" w:eastAsiaTheme="minorEastAsia" w:cstheme="minorEastAsia"/>
          <w:sz w:val="24"/>
          <w:szCs w:val="24"/>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ajorEastAsia" w:hAnsiTheme="majorEastAsia" w:eastAsiaTheme="majorEastAsia" w:cstheme="majorEastAsia"/>
          <w:b/>
          <w:bCs/>
          <w:sz w:val="44"/>
          <w:szCs w:val="44"/>
        </w:rPr>
      </w:pPr>
      <w:bookmarkStart w:id="0" w:name="_Toc25462"/>
      <w:r>
        <w:rPr>
          <w:rFonts w:hint="eastAsia" w:asciiTheme="majorEastAsia" w:hAnsiTheme="majorEastAsia" w:eastAsiaTheme="majorEastAsia" w:cstheme="majorEastAsia"/>
          <w:b/>
          <w:bCs/>
          <w:sz w:val="44"/>
          <w:szCs w:val="44"/>
        </w:rPr>
        <w:t>武昌首义学院通识教育选修课程建设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r>
        <w:rPr>
          <w:rFonts w:hint="eastAsia" w:asciiTheme="majorEastAsia" w:hAnsiTheme="majorEastAsia" w:eastAsiaTheme="majorEastAsia" w:cstheme="majorEastAsia"/>
          <w:b/>
          <w:bCs/>
          <w:sz w:val="44"/>
          <w:szCs w:val="44"/>
        </w:rPr>
        <w:t>与管理办法</w:t>
      </w:r>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（院教〔2021〕25号）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识教育选修课程（以下简称“通选课”）是本科教学课程体系的重要组成部分，是实施素质教育，完善学生知识结构、开拓学生视野、发展学生综合能力、培育学生健全品格、促进学生全面发展的重要途径。为进一步加强我校通选课的管理，构建符合我校人才培养目标的通识教育选修课程体系，提高教育教学质量，特制定本办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第一条 通选课设置原则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（一）有利于培养学生的人文精神、科学素养、创新意识和实践能力，有利于提升学生的文学涵养和艺术素养，有利于培育学生的健全人格和健康身心。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（二）有利于在人文科学、社会科学和自然科学等领域培养和拓展学生的问题意识与国际视野。应当强化学科交叉、专业融合以及课程的综合性，实现课程模块化，拓宽学生的知识面。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（三）有利于学生在最基本的学科领域掌握认识和改造世界的不同思路、视角与方法。强调课程内容的价值导向性和思想引领性，将培育和践行社会主义核心价值观贯穿课程始终。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第二条 通选课的模块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（一）按学科类别分为人文科学、社会科学和自然科学三大门类。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文科学课程涵盖文学、历史、哲学等领域，主要对中西文化经典进行解读和讲授，对西方文明及世界文明进行探讨，了解人类历史的变迁和多元化发展，同时对现时代的全球性问题加以关注和探讨，目的在于帮助学生深入认识我国传统文化，培育学生全球视野，提升理解能力、思辨能力和表达沟通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科学课程主要以学科前沿理论介绍与现实案例分析相结合的方式，帮助学生进行政治学、经济学、法学、管理学、心理学、文体艺术等基本理论和知识的疏通，引导学生对当代人类行为及社会现实问题的认识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自然科学课程以数学、物理、化学、生物等学科及工程技术领域为主，帮助学生认识人类自然科学与工程技术的新进展，让学生了解和掌握自然科学研究方法和路径，建立当代科学图景，提高科学素养。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三大学科门类设置八大模块，包括“国学经典与文化传承”、“全球视野与社会发展”、“哲学智慧与批判思维”、“市场经济与公共管理”、“身心健康与艺术修养”、“社会实践与创新创业”、“科学发展与科技创新”、“生态文明与生命关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（二）通选课根据授课形式不同分为校内通选课、网络通选课两大类。校内通选课指按传统课堂上课方式开设的课程，网络通选课指学校签约的网络平台开设的课程、国家精品视频公开课及资源共享课等。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（三）通选课的设置及变更由学校教学指导委员会研究决定，教务处负责组织和实施。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通选课的建设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各教学单位要重视通选课的教学，加强通选课建设，推进通选课改革。各教学单位应建立通选课建设的长效机制，组建教学团队，通选课应结合各学科发展的动态和趋势，重视讲授新知识、新信息和新成果，以提高通选课教学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（二）各教学单位开设的通选课应兼顾人文科学、社会科学和自然科学三大学科，比例均衡，满足各专业学生跨学科选修的需要。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（三）要充分利用国家精品开放课程与现代网络资源建设新形式的通选课。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通选课开课及选课原则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（一）适宜的各专业任选课程可作通选课，但专业性太强的专业课程不宜作通选课。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（二）原则上通选课在一学期内授完，每门通选课总学时不超过32学时（2学分）。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（三）允许通选课在一周内开设两个不同的课堂；若学期教学周数充足，可以在一个学期中分前后两个阶段分两次开课。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（四）选修人数不足30人或连续两个学期因选课人数不足而停开的课程原则上不开课。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（五）需要进行实验或上机，但硬件条件暂无法保证的通选课暂不开设（具备条件后可重新申报）。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（六）教学效果不好的课程，教务处可决定暂停开课。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（七）通选课的授课对象主要是跨学科学习的学生。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（八）非艺术类专业学生须在“身心健康与艺术修养”模块“艺术修养”课程中至少选修1个学分。学生在修业年限内应至少取得8个通识教育选修学分。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通选课的申报与审批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（一）各教学单位应依托自身学科特点和优势，积极开发和申报通选课。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（二）各教学单位应指导教师理性申报，一般每学期每位教师开课不得超过 2 门。 避免教师工作量过重精力分散而影响正常教学的质量与效果。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（三）原则上通选课授课教师应具有讲师及以上职称或具有硕士及以上学位。在所研究领域有较好研究成果者亦可申报和开设相关通选课。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（四）校内通选课由教学单位集体申报，按下列步骤进行：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1.申报人填写《武昌首义学院校级通选课申请表》（一式两份），并提供课程教学大纲及教学进度安排表。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2.相关教学单位分管教学负责人或职能部门负责人对申报材料进行审核后提交教务处教务管理科。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3.教务处对申报资格、课程内容、教学大纲和教学进度进行审查，并进行批复。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4.审查合格，教务处对申报的课程予以建库登记。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5.新开设的通选课和首次开设通选课的教师，必须经过教务处组织的试讲环节。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6.通选课的申报手续必须在开课的前一个学期完成。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（五）网络通选课根据学校通修课程建设要求进行遴选。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 通选课教学工作量的计算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通选课教学工作量纳入到教师学年度教学工作量中，按照学校相关规定考核，超额完成工作量按规定发放课酬。</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第七条 通选课的选课与组织管理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（一）教务处完成对所有申报开设的通选课审批后，编制下一学期《通选课选课指南》，发布选课通知，组织学生进行选课。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（二）学生根据选课通知，结合必修课程安排在规定的时间进入学校教务管理系统进行选课。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（三）各学院负责指导学生正确选课, 要求学生选修非本学科的通选课，注重学科之间的交叉融合，鼓励学生多方面发展，以适应社会对人才多样化的需求。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（四）选课结束后，教务处根据规定取消选课人数不足30人或连续两个学期因选课人数不足而停开的校内通选课。对于不符合开课条件的课堂，组织已选该课堂的学生重新选课。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（五）选课学生名单确定后，各任课教师从教务管理系统中导出并打印选课学生名单。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第八条 通选课的教材管理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学校和任课教师不负责订购通选课教材。任课教师可根据授课内容向学生推荐教材，学生有需要可自行购买。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第九条 通选课的质量管理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（一）通选课享有与专业选修课程同样的地位，其教学规范、质量要求、教学事故的认定和处理等与专业选修课程一致。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（二）任课教师必须认真执行《武昌首义学院教学工作基本规范》，重视教学方法研究，努力提高教学质量。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（三）学校将依据《武昌首义学院教师教学质量评估方案》开展对通选课的质量监控与管理。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（四）任课教师应根据选课学生名单组织教学，不得随意添加学生。加强课堂管理，采用随机点名、课堂回答问题、小作业、小测试等方式检查学生到课情况。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 通选课的考核管理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（一）通选课考核管理依据《武昌首义学院课程考核管理办法》执行。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（二）原则上所有通选课均为考查课，考查形式采用闭卷、开卷或其他形式均可。每学期课堂考勤至少五次，学生缺课三分之一及以上者，不能评定成绩。</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（三）通选课考核不得占用教学学时。考试安排在课程结束后一周内进行（原节次、地点不变，周次顺延一周）。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第十一条 通选课的成绩管理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（一）通选课成绩管理依据《武昌首义学院学生成绩管理办法》执行。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（二）通选课成绩按百分制评定，学生考试及格即可取得相应学分。通选课考试不设补考，考试不及格可以重新选修该门课程或选修其他课程学习。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第十二条 附则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（一）本规定从公布之日起施行。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（二）原《武昌首义学院校级公共选修课程建设与管理办法》（院教〔2018〕63号）废止。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（三）本规定由教务处负责解释。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rPr>
      </w:pPr>
      <w:bookmarkStart w:id="1" w:name="_Toc2784"/>
      <w:r>
        <w:rPr>
          <w:rFonts w:hint="eastAsia" w:asciiTheme="minorEastAsia" w:hAnsiTheme="minorEastAsia" w:eastAsiaTheme="minorEastAsia" w:cstheme="minorEastAsia"/>
          <w:b/>
          <w:bCs/>
          <w:sz w:val="48"/>
          <w:szCs w:val="48"/>
        </w:rPr>
        <w:t>第一部分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我校自主开设的通识教育选修课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课程简介</w:t>
      </w:r>
      <w:bookmarkEnd w:id="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英语演讲艺术（一）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2021级非英语专业学生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演讲能力已经成为国家对高端人才培养的基本要求，也是高端人才外语能力、思辨能力、交际能力、创新能力和国际竞争力的综合体现。本课程以国际化人才要求为标准，融入思辨性、拓展性和创造性等关键要素，旨在增强学生的跨文化交际意识，开拓其国际视野，提升其国际素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Chapter One  Why Study Public Speaking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An Introduction to Public Speaking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Personal Benefits of Studying Public Speaking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  Professional Benefits of Studying Public Speaking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Public Benefits of Studying Public Speaking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  Public Speaking and Critical Thinking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  The Ethics of Public Speaking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Chapter Two  How to Prepare a Public Speaking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2.1 Selecting a Topic and Purpose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 Analyzing the Audience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2.3 Gathering Materials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2.4 Supporting Your Ideas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2.5 Organizing the Body of the Speech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2.6 Wording Your Speech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2.7 Outlining the Speech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Chapter Three  How to Use Presentational Aids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Using Audio / Visual Aids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Using PowerPoint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Final Test  To Make a Public Speech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bookmarkStart w:id="2" w:name="_Toc20323"/>
      <w:r>
        <w:rPr>
          <w:rFonts w:hint="eastAsia" w:asciiTheme="minorEastAsia" w:hAnsiTheme="minorEastAsia" w:eastAsiaTheme="minorEastAsia" w:cstheme="minorEastAsia"/>
          <w:b/>
          <w:bCs/>
          <w:sz w:val="32"/>
          <w:szCs w:val="32"/>
        </w:rPr>
        <w:t>楚艺术与设计创新</w:t>
      </w:r>
      <w:bookmarkEnd w:id="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32/2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全校学生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是以理论和实践为目标的楚艺术教学课程。引导学生理解并掌握楚艺术的表现方式，以及它存在的价值。课程按照理论和实际操作两个环节来设计，学生通过理论学习，将楚艺术青铜纹样融入到现代设计元素中，让学生自己动手制作一些简单的文创手工艺品，课程结合PVC或卡纸、皮革、木头、陶瓷、金属等综合材料，制作首饰、及书签、明信片、摆件等微小型文创衍生品。提高学生的学习兴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1、楚国800年、楚艺术特征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2、石雕、建筑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3、民俗、饮食、节日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4、绘画、岩壁画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5、音乐、舞蹈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6、书法、陶器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7、木雕、竹编、漆器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8、丝织、刺绣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9、纹饰、服饰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10、玉器、琉璃器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11、铜器、金银器、铁器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bookmarkStart w:id="3" w:name="_Toc24988"/>
      <w:r>
        <w:rPr>
          <w:rFonts w:hint="eastAsia" w:asciiTheme="minorEastAsia" w:hAnsiTheme="minorEastAsia" w:eastAsiaTheme="minorEastAsia" w:cstheme="minorEastAsia"/>
          <w:b/>
          <w:bCs/>
          <w:sz w:val="32"/>
          <w:szCs w:val="32"/>
        </w:rPr>
        <w:t>插画创作</w:t>
      </w:r>
      <w:bookmarkEnd w:id="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全校学生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是以理论和实践为目标的插画教学课程。引导学生理解并掌握插画的创作流程，能够运用造型设计、色彩搭配及手绘技法进创意表达。本课程定位为公共选修课程，因此兼顾不同基础的学习者，通过课程学习，培养学生掌握基本的插画创作审美和能力，为后续的继续学习打下坚实的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1、课程介绍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2、插画概述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3、插画的分类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4、插画的绘制技法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5、插画的艺术风格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6、插画的创作方法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7、数字插画综合实战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32"/>
          <w:szCs w:val="32"/>
        </w:rPr>
        <w:t>逻辑与幽默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32/2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全校学生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为了满足绝大多数同学都对幽默性思维感兴趣，都希望自己多一点“幽默细胞”，经常展示自己对生命、生长、生活、生机的“会心的微笑”的需要，而尽可能的塑造同学们的逻辑与幽默的内在素质。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最基本的普通逻辑学的概述、范畴、推理开始，并涉及相应的辨证逻辑、非逻辑的一些思维方法，延伸到对种种幽默的欣赏中。顺着逻辑说、接着逻辑说、反着逻辑说，在饱含思维的微笑中，创作出各种风格的逻辑与幽默的作品，既解脱自已的郁闷心境，又给别人提供积极、健康、向上的心灵“鸡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bookmarkStart w:id="4" w:name="_Toc1719"/>
      <w:r>
        <w:rPr>
          <w:rFonts w:hint="eastAsia" w:asciiTheme="minorEastAsia" w:hAnsiTheme="minorEastAsia" w:eastAsiaTheme="minorEastAsia" w:cstheme="minorEastAsia"/>
          <w:b/>
          <w:bCs/>
          <w:sz w:val="32"/>
          <w:szCs w:val="32"/>
        </w:rPr>
        <w:t>舞台主持艺术</w:t>
      </w:r>
      <w:bookmarkEnd w:id="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通过课程学习，掌握舞台主持的台词技巧，提升舞台主持人的个人气质与艺术修养。学习基本的舞台表演知识，提升舞台表现力，掌控力及表演技巧，提高艺术修养，増强自身综合素质。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1、基本功训练（台词及形体站姿）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2、主持训练（台词及自选主持类型训练）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3、朗诵训练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4、舞台表演训练（快板及小品训练）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bookmarkStart w:id="5" w:name="_Toc98"/>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艺术实践—现代舞</w:t>
      </w:r>
      <w:bookmarkEnd w:id="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通过本课程的学习，掌握现代专业舞蹈技能，掌握训练方法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提高舞蹈素养。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1、现代舞基本功训练(勾绷脚、擦地、蹲、小踢脚，腰的训练、吸腿、大踢腱的节奏变化训练，训练学生的反应力、动作的灵敏性)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2、专业技能技巧训练(中间动作:大踢腿(前旁后)、基本姿态、舞姿训练、舞蹈技巧训练:身、跳、翻、转、大跳的训练)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3、身段组合训练和即兴表演训练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4、大型活动、比赛的节目编排</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bookmarkStart w:id="6" w:name="_Toc3979"/>
      <w:r>
        <w:rPr>
          <w:rFonts w:hint="eastAsia" w:asciiTheme="minorEastAsia" w:hAnsiTheme="minorEastAsia" w:eastAsiaTheme="minorEastAsia" w:cstheme="minorEastAsia"/>
          <w:b/>
          <w:bCs/>
          <w:sz w:val="32"/>
          <w:szCs w:val="32"/>
        </w:rPr>
        <w:t>艺术实践—钢琴</w:t>
      </w:r>
      <w:bookmarkEnd w:id="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这门课程的学习，要求学生将音乐理论的基本知识和对音乐形象的理解力、表现力以及钢琴弹奏的必要知识、技能技巧这几方面紧密地结合起来，使自身的音乐素质和专业水平得到充实的、全面的提高与发展，具备一定的范奏能力和即兴伴奏能力，达到胜任在大学生艺术活动中的钢琴演奏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1、基本练习：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(1)《哈农》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(2)音阶：二十四个大小调音阶(一个八度)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(3)琶音：主和弦分解、属七和弦和减七和弦分解(一个八度)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2、练习曲：《拜厄基础教程》选曲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3、复调：《巴赫初级钢琴曲集》选曲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4、乐曲：《钢琴基础教程》(一)册选曲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bookmarkStart w:id="7" w:name="_Toc6853"/>
      <w:r>
        <w:rPr>
          <w:rFonts w:hint="eastAsia" w:asciiTheme="minorEastAsia" w:hAnsiTheme="minorEastAsia" w:eastAsiaTheme="minorEastAsia" w:cstheme="minorEastAsia"/>
          <w:b/>
          <w:bCs/>
          <w:sz w:val="32"/>
          <w:szCs w:val="32"/>
        </w:rPr>
        <w:t>合唱与指挥</w:t>
      </w:r>
      <w:bookmarkEnd w:id="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教学，使学生掌握合唱史、合唱风格、合唱作品分析等基本知识。同时要求学生掌握多声部听觉与多声部演唱能力，各种指挥法技巧和合唱训练技巧，最终要求学生能综合运用自己知识和技能担任训练和辅导群众合唱的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24"/>
          <w:szCs w:val="24"/>
        </w:rPr>
        <w:t>乐理、识谱、指挥图式、合唱作品、声乐演唱技巧。</w:t>
      </w:r>
      <w:bookmarkStart w:id="8" w:name="_Toc1901"/>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大学音乐</w:t>
      </w:r>
      <w:bookmarkEnd w:id="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通过“基本乐理”“视唱练耳”等章节内容的教学，要求学生掌握基本的音乐理论知识和五线谱，理解掌握理论知识并运用于歌唱之中，能独立视唱难度不是很高的歌曲，具有独立视谱的能力。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音的概述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记谱法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节奏节拍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常用记号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音程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 调性、调式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第七章 译谱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第八章 视唱练耳</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Theme="minorEastAsia" w:hAnsiTheme="minorEastAsia" w:eastAsiaTheme="minorEastAsia" w:cstheme="minorEastAsia"/>
          <w:b/>
          <w:bCs/>
          <w:sz w:val="32"/>
          <w:szCs w:val="32"/>
        </w:rPr>
      </w:pPr>
      <w:bookmarkStart w:id="9" w:name="_Toc11554"/>
      <w:r>
        <w:rPr>
          <w:rFonts w:hint="eastAsia" w:asciiTheme="minorEastAsia" w:hAnsiTheme="minorEastAsia" w:eastAsiaTheme="minorEastAsia" w:cstheme="minorEastAsia"/>
          <w:b/>
          <w:bCs/>
          <w:sz w:val="32"/>
          <w:szCs w:val="32"/>
        </w:rPr>
        <w:t>艺术实践—吉他</w:t>
      </w:r>
      <w:bookmarkEnd w:id="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通过课程学习，掌握基本的吉他演奏技巧，基本音乐理论知识。提高艺术修养，増强自身综合素质。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1、基本功训练(包括基本乐理)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2、弹唱训练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3、简单纯乐曲演奏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4、合奏训练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芭蕾形体训练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对芭蕾基训课程的学习，使学生较为系统的掌握芭蕾基础训练的方法，训练学生身体的稳定性、动作的外开性、肢体的协调性、舞姿的规范性，使学生能够灵活的完成技术技巧动作，培养其良好的舞蹈感觉，使形体动作富有较好的艺术表现力，为各类舞蹈训练打下良好的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手位训练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扶把训练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跳跃训练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芭蕾舞姿训练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bookmarkStart w:id="10" w:name="_Toc21523"/>
      <w:r>
        <w:rPr>
          <w:rFonts w:hint="eastAsia" w:asciiTheme="minorEastAsia" w:hAnsiTheme="minorEastAsia" w:eastAsiaTheme="minorEastAsia" w:cstheme="minorEastAsia"/>
          <w:b/>
          <w:bCs/>
          <w:sz w:val="32"/>
          <w:szCs w:val="32"/>
        </w:rPr>
        <w:t>大众艺术体操</w:t>
      </w:r>
      <w:bookmarkEnd w:id="1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通过大众艺术体操各项基本技术教学，将体操、舞蹈、音乐结合为一体</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培养学生良好身体姿态及动作的节奏感、韵律感、优美感和表现力。通过教学使同学喜爱这种健身、健美、愉悦身心的运动项目。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基本姿态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扶把练习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徒手练习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轻器械练习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成套动作练习</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32"/>
          <w:szCs w:val="32"/>
        </w:rPr>
        <w:t>数学基础强化A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32</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全校工科类和经管类本科、专升本及专科各专业学生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通过熟练掌握高等数学的相关基础理论知识，培养学生对相关数学概念、定理及一些结论的理解能力，能运用高等数学的相关理论知识去分析各类工程问题，具有一定的科学分析能力和逻辑推理能力。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通过课程的讲解，使学生具备参加考研所需数学的坚实的理论基础。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极限与连续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导数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导数的应用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不定积分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定积分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六</w:t>
      </w:r>
      <w:r>
        <w:rPr>
          <w:rFonts w:hint="eastAsia" w:asciiTheme="minorEastAsia" w:hAnsiTheme="minorEastAsia" w:eastAsiaTheme="minorEastAsia" w:cstheme="minorEastAsia"/>
          <w:sz w:val="24"/>
          <w:szCs w:val="24"/>
        </w:rPr>
        <w:t>章 多元微分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七</w:t>
      </w:r>
      <w:r>
        <w:rPr>
          <w:rFonts w:hint="eastAsia" w:asciiTheme="minorEastAsia" w:hAnsiTheme="minorEastAsia" w:eastAsiaTheme="minorEastAsia" w:cstheme="minorEastAsia"/>
          <w:sz w:val="24"/>
          <w:szCs w:val="24"/>
        </w:rPr>
        <w:t>章 多元积分1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八</w:t>
      </w:r>
      <w:r>
        <w:rPr>
          <w:rFonts w:hint="eastAsia" w:asciiTheme="minorEastAsia" w:hAnsiTheme="minorEastAsia" w:eastAsiaTheme="minorEastAsia" w:cstheme="minorEastAsia"/>
          <w:sz w:val="24"/>
          <w:szCs w:val="24"/>
        </w:rPr>
        <w:t>章 多元积分2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九</w:t>
      </w:r>
      <w:r>
        <w:rPr>
          <w:rFonts w:hint="eastAsia" w:asciiTheme="minorEastAsia" w:hAnsiTheme="minorEastAsia" w:eastAsiaTheme="minorEastAsia" w:cstheme="minorEastAsia"/>
          <w:sz w:val="24"/>
          <w:szCs w:val="24"/>
        </w:rPr>
        <w:t>章 微分方程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十</w:t>
      </w:r>
      <w:r>
        <w:rPr>
          <w:rFonts w:hint="eastAsia" w:asciiTheme="minorEastAsia" w:hAnsiTheme="minorEastAsia" w:eastAsiaTheme="minorEastAsia" w:cstheme="minorEastAsia"/>
          <w:sz w:val="24"/>
          <w:szCs w:val="24"/>
        </w:rPr>
        <w:t>章 无穷级数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NzhlOGE4NmIzOTczMmNmMzViODUzMjY0NjAyYjQifQ=="/>
  </w:docVars>
  <w:rsids>
    <w:rsidRoot w:val="36051B08"/>
    <w:rsid w:val="04D942E1"/>
    <w:rsid w:val="17433E82"/>
    <w:rsid w:val="36051B08"/>
    <w:rsid w:val="36244AFC"/>
    <w:rsid w:val="36EA5304"/>
    <w:rsid w:val="37554613"/>
    <w:rsid w:val="4323429E"/>
    <w:rsid w:val="47C12D5F"/>
    <w:rsid w:val="4EC862B8"/>
    <w:rsid w:val="59B63277"/>
    <w:rsid w:val="64D25C64"/>
    <w:rsid w:val="65556C71"/>
    <w:rsid w:val="6A5B3F0D"/>
    <w:rsid w:val="74DC579C"/>
    <w:rsid w:val="7B062C85"/>
    <w:rsid w:val="7CCC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spacing w:line="240" w:lineRule="auto"/>
      <w:ind w:leftChars="2500" w:firstLine="0" w:firstLineChars="0"/>
    </w:pPr>
    <w:rPr>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5807</Words>
  <Characters>6370</Characters>
  <Lines>0</Lines>
  <Paragraphs>0</Paragraphs>
  <TotalTime>2</TotalTime>
  <ScaleCrop>false</ScaleCrop>
  <LinksUpToDate>false</LinksUpToDate>
  <CharactersWithSpaces>6821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2022-01-14T03:15:00Z</dcterms:created>
  <dc:creator>pc</dc:creator>
  <cp:lastModifiedBy>pc</cp:lastModifiedBy>
  <dcterms:modified xsi:type="dcterms:W3CDTF">2022-08-18T08:12:52Z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14438408AE624AFBA93A1B45CB3BEF86</vt:lpwstr>
  </property>
</Properties>
</file>