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0" w:lineRule="exact"/>
        <w:ind w:firstLine="0" w:firstLineChars="0"/>
        <w:jc w:val="center"/>
        <w:rPr>
          <w:rFonts w:hint="eastAsia" w:ascii="仿宋_GB2312" w:hAnsi="华文仿宋" w:eastAsia="仿宋_GB2312"/>
          <w:b/>
          <w:color w:val="000000"/>
          <w:w w:val="80"/>
          <w:sz w:val="84"/>
          <w:szCs w:val="84"/>
        </w:rPr>
      </w:pPr>
      <w:r>
        <w:rPr>
          <w:rFonts w:hint="eastAsia" w:ascii="仿宋_GB2312" w:hAnsi="华文仿宋" w:eastAsia="仿宋_GB2312"/>
          <w:b/>
          <w:color w:val="000000"/>
          <w:w w:val="80"/>
          <w:sz w:val="84"/>
          <w:szCs w:val="84"/>
        </w:rPr>
        <w:t>武 昌 首 义 学 院</w:t>
      </w:r>
    </w:p>
    <w:p>
      <w:pPr>
        <w:spacing w:line="1600" w:lineRule="exact"/>
        <w:ind w:firstLine="0" w:firstLineChars="0"/>
        <w:jc w:val="center"/>
        <w:rPr>
          <w:rFonts w:hint="eastAsia" w:ascii="仿宋_GB2312" w:hAnsi="华文仿宋" w:eastAsia="仿宋_GB2312"/>
          <w:b/>
          <w:color w:val="000000"/>
          <w:spacing w:val="26"/>
          <w:w w:val="80"/>
          <w:kern w:val="116"/>
          <w:sz w:val="84"/>
          <w:szCs w:val="84"/>
        </w:rPr>
      </w:pPr>
      <w:r>
        <w:rPr>
          <w:rFonts w:hint="eastAsia" w:ascii="仿宋_GB2312" w:hAnsi="华文仿宋" w:eastAsia="仿宋_GB2312"/>
          <w:b/>
          <w:color w:val="000000"/>
          <w:w w:val="80"/>
          <w:sz w:val="84"/>
          <w:szCs w:val="84"/>
          <w:lang w:val="en-US" w:eastAsia="zh-CN"/>
        </w:rPr>
        <w:t>通识教育</w:t>
      </w:r>
      <w:r>
        <w:rPr>
          <w:rFonts w:hint="eastAsia" w:ascii="仿宋_GB2312" w:hAnsi="华文仿宋" w:eastAsia="仿宋_GB2312"/>
          <w:b/>
          <w:color w:val="000000"/>
          <w:w w:val="80"/>
          <w:sz w:val="84"/>
          <w:szCs w:val="84"/>
        </w:rPr>
        <w:t>选修课选课指南</w:t>
      </w:r>
    </w:p>
    <w:p>
      <w:pPr>
        <w:spacing w:before="468" w:beforeLines="150"/>
        <w:ind w:firstLine="198" w:firstLineChars="55"/>
        <w:jc w:val="center"/>
        <w:rPr>
          <w:rFonts w:hint="eastAsia" w:ascii="宋体" w:hAnsi="宋体"/>
          <w:color w:val="000000"/>
          <w:sz w:val="36"/>
          <w:szCs w:val="36"/>
        </w:rPr>
      </w:pPr>
      <w:r>
        <w:rPr>
          <w:rFonts w:hint="eastAsia" w:ascii="宋体" w:hAnsi="宋体"/>
          <w:color w:val="000000"/>
          <w:sz w:val="36"/>
          <w:szCs w:val="36"/>
        </w:rPr>
        <w:t>202</w:t>
      </w:r>
      <w:r>
        <w:rPr>
          <w:rFonts w:hint="eastAsia" w:ascii="宋体" w:hAnsi="宋体"/>
          <w:color w:val="000000"/>
          <w:sz w:val="36"/>
          <w:szCs w:val="36"/>
          <w:lang w:val="en-US" w:eastAsia="zh-CN"/>
        </w:rPr>
        <w:t>1</w:t>
      </w:r>
      <w:r>
        <w:rPr>
          <w:rFonts w:hint="eastAsia" w:ascii="宋体" w:hAnsi="宋体"/>
          <w:color w:val="000000"/>
          <w:sz w:val="36"/>
          <w:szCs w:val="36"/>
        </w:rPr>
        <w:t>～202</w:t>
      </w:r>
      <w:r>
        <w:rPr>
          <w:rFonts w:hint="eastAsia" w:ascii="宋体" w:hAnsi="宋体"/>
          <w:color w:val="000000"/>
          <w:sz w:val="36"/>
          <w:szCs w:val="36"/>
          <w:lang w:val="en-US" w:eastAsia="zh-CN"/>
        </w:rPr>
        <w:t>2</w:t>
      </w:r>
      <w:r>
        <w:rPr>
          <w:rFonts w:hint="eastAsia" w:ascii="宋体" w:hAnsi="宋体"/>
          <w:color w:val="000000"/>
          <w:sz w:val="36"/>
          <w:szCs w:val="36"/>
        </w:rPr>
        <w:t>学年度第</w:t>
      </w:r>
      <w:r>
        <w:rPr>
          <w:rFonts w:hint="eastAsia" w:ascii="宋体" w:hAnsi="宋体"/>
          <w:color w:val="000000"/>
          <w:sz w:val="36"/>
          <w:szCs w:val="36"/>
          <w:lang w:val="en-US" w:eastAsia="zh-CN"/>
        </w:rPr>
        <w:t>二</w:t>
      </w:r>
      <w:r>
        <w:rPr>
          <w:rFonts w:hint="eastAsia" w:ascii="宋体" w:hAnsi="宋体"/>
          <w:color w:val="000000"/>
          <w:sz w:val="36"/>
          <w:szCs w:val="36"/>
        </w:rPr>
        <w:t>学期</w:t>
      </w:r>
    </w:p>
    <w:p>
      <w:pPr>
        <w:spacing w:before="468" w:beforeLines="150"/>
        <w:ind w:firstLine="0" w:firstLineChars="0"/>
        <w:rPr>
          <w:rFonts w:hint="eastAsia" w:ascii="华文隶书" w:eastAsia="华文隶书"/>
          <w:color w:val="000000"/>
          <w:sz w:val="36"/>
        </w:rPr>
      </w:pPr>
    </w:p>
    <w:p>
      <w:pPr>
        <w:spacing w:before="468" w:beforeLines="150"/>
        <w:ind w:firstLine="0" w:firstLineChars="0"/>
        <w:rPr>
          <w:rFonts w:hint="eastAsia" w:ascii="华文隶书" w:eastAsia="华文隶书"/>
          <w:color w:val="000000"/>
          <w:sz w:val="36"/>
        </w:rPr>
      </w:pPr>
    </w:p>
    <w:p>
      <w:pPr>
        <w:spacing w:before="468" w:beforeLines="150"/>
        <w:ind w:firstLine="0" w:firstLineChars="0"/>
        <w:rPr>
          <w:rFonts w:hint="eastAsia" w:ascii="华文隶书" w:eastAsia="华文隶书"/>
          <w:color w:val="000000"/>
          <w:sz w:val="36"/>
        </w:rPr>
      </w:pPr>
    </w:p>
    <w:p>
      <w:pPr>
        <w:spacing w:before="468" w:beforeLines="150"/>
        <w:ind w:firstLine="0" w:firstLineChars="0"/>
        <w:rPr>
          <w:rFonts w:hint="eastAsia" w:ascii="华文隶书" w:eastAsia="华文隶书"/>
          <w:color w:val="000000"/>
          <w:sz w:val="36"/>
        </w:rPr>
      </w:pPr>
    </w:p>
    <w:p>
      <w:pPr>
        <w:spacing w:before="468" w:beforeLines="150"/>
        <w:ind w:firstLine="0" w:firstLineChars="0"/>
        <w:rPr>
          <w:rFonts w:hint="eastAsia" w:ascii="华文隶书" w:eastAsia="华文隶书"/>
          <w:color w:val="000000"/>
          <w:sz w:val="36"/>
        </w:rPr>
      </w:pPr>
    </w:p>
    <w:p>
      <w:pPr>
        <w:spacing w:line="240" w:lineRule="auto"/>
        <w:ind w:firstLine="0" w:firstLineChars="0"/>
        <w:rPr>
          <w:rFonts w:hint="eastAsia" w:ascii="华文隶书" w:eastAsia="华文隶书"/>
          <w:color w:val="000000"/>
          <w:kern w:val="0"/>
          <w:sz w:val="36"/>
        </w:rPr>
      </w:pPr>
    </w:p>
    <w:p>
      <w:pPr>
        <w:spacing w:line="480" w:lineRule="auto"/>
        <w:ind w:firstLine="0" w:firstLineChars="0"/>
        <w:jc w:val="center"/>
        <w:rPr>
          <w:rFonts w:hint="eastAsia" w:ascii="黑体" w:hAnsi="宋体" w:eastAsia="黑体"/>
          <w:color w:val="000000"/>
          <w:kern w:val="0"/>
          <w:sz w:val="36"/>
        </w:rPr>
      </w:pPr>
      <w:r>
        <w:rPr>
          <w:rFonts w:hint="eastAsia" w:ascii="黑体" w:hAnsi="宋体" w:eastAsia="黑体"/>
          <w:color w:val="000000"/>
          <w:kern w:val="0"/>
          <w:sz w:val="36"/>
        </w:rPr>
        <w:t>武昌首义学院教务处</w:t>
      </w:r>
    </w:p>
    <w:p>
      <w:pPr>
        <w:pStyle w:val="2"/>
        <w:spacing w:line="480" w:lineRule="auto"/>
        <w:ind w:leftChars="0"/>
        <w:jc w:val="center"/>
        <w:rPr>
          <w:rFonts w:hint="eastAsia"/>
          <w:color w:val="000000"/>
          <w:sz w:val="32"/>
          <w:szCs w:val="32"/>
        </w:rPr>
      </w:pPr>
      <w:r>
        <w:rPr>
          <w:rFonts w:hint="eastAsia" w:ascii="黑体" w:eastAsia="黑体"/>
          <w:color w:val="000000"/>
          <w:sz w:val="32"/>
          <w:szCs w:val="32"/>
        </w:rPr>
        <w:t>二〇二</w:t>
      </w:r>
      <w:r>
        <w:rPr>
          <w:rFonts w:hint="eastAsia" w:ascii="黑体" w:eastAsia="黑体"/>
          <w:color w:val="000000"/>
          <w:sz w:val="32"/>
          <w:szCs w:val="32"/>
          <w:lang w:val="en-US" w:eastAsia="zh-CN"/>
        </w:rPr>
        <w:t>二</w:t>
      </w:r>
      <w:r>
        <w:rPr>
          <w:rFonts w:hint="eastAsia" w:ascii="黑体" w:eastAsia="黑体"/>
          <w:color w:val="000000"/>
          <w:sz w:val="32"/>
          <w:szCs w:val="32"/>
        </w:rPr>
        <w:t>年</w:t>
      </w:r>
      <w:r>
        <w:rPr>
          <w:rFonts w:hint="eastAsia" w:ascii="黑体" w:eastAsia="黑体"/>
          <w:color w:val="000000"/>
          <w:sz w:val="32"/>
          <w:szCs w:val="32"/>
          <w:lang w:val="en-US" w:eastAsia="zh-CN"/>
        </w:rPr>
        <w:t>二</w:t>
      </w:r>
      <w:r>
        <w:rPr>
          <w:rFonts w:hint="eastAsia" w:ascii="黑体" w:eastAsia="黑体"/>
          <w:color w:val="000000"/>
          <w:sz w:val="32"/>
          <w:szCs w:val="32"/>
        </w:rPr>
        <w:t>月</w:t>
      </w:r>
    </w:p>
    <w:p>
      <w:pPr>
        <w:ind w:firstLine="480"/>
        <w:rPr>
          <w:rFonts w:hint="eastAsia"/>
          <w:color w:val="000000"/>
        </w:rPr>
      </w:pPr>
    </w:p>
    <w:p>
      <w:pPr>
        <w:pStyle w:val="5"/>
        <w:tabs>
          <w:tab w:val="right" w:leader="dot" w:pos="8306"/>
        </w:tabs>
        <w:rPr>
          <w:rFonts w:hint="eastAsia"/>
        </w:rPr>
        <w:sectPr>
          <w:pgSz w:w="11906" w:h="16838"/>
          <w:pgMar w:top="1440" w:right="1800" w:bottom="1440" w:left="1800" w:header="851" w:footer="992" w:gutter="0"/>
          <w:cols w:space="425" w:num="1"/>
          <w:docGrid w:type="lines" w:linePitch="312" w:charSpace="0"/>
        </w:sectPr>
      </w:pPr>
    </w:p>
    <w:p>
      <w:pPr>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目  录</w:t>
      </w:r>
    </w:p>
    <w:p>
      <w:pPr>
        <w:pStyle w:val="5"/>
        <w:tabs>
          <w:tab w:val="right" w:leader="dot" w:pos="8306"/>
        </w:tabs>
        <w:rPr>
          <w:rFonts w:hint="eastAsia"/>
        </w:rPr>
      </w:pP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"1-1" \h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HYPERLINK \l _Toc25462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武昌首义学院通识教育选修课程建设与管理办法</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val="0"/>
          <w:bCs w:val="0"/>
          <w:sz w:val="24"/>
          <w:szCs w:val="24"/>
        </w:rPr>
        <w:tab/>
      </w:r>
      <w:r>
        <w:rPr>
          <w:rFonts w:hint="eastAsia" w:asciiTheme="minorEastAsia" w:hAnsiTheme="minorEastAsia" w:eastAsiaTheme="minorEastAsia" w:cstheme="minorEastAsia"/>
          <w:b w:val="0"/>
          <w:bCs w:val="0"/>
          <w:sz w:val="24"/>
          <w:szCs w:val="24"/>
        </w:rPr>
        <w:fldChar w:fldCharType="begin"/>
      </w:r>
      <w:r>
        <w:rPr>
          <w:rFonts w:hint="eastAsia" w:asciiTheme="minorEastAsia" w:hAnsiTheme="minorEastAsia" w:eastAsiaTheme="minorEastAsia" w:cstheme="minorEastAsia"/>
          <w:b w:val="0"/>
          <w:bCs w:val="0"/>
          <w:sz w:val="24"/>
          <w:szCs w:val="24"/>
        </w:rPr>
        <w:instrText xml:space="preserve"> PAGEREF _Toc25462 \h </w:instrText>
      </w:r>
      <w:r>
        <w:rPr>
          <w:rFonts w:hint="eastAsia" w:asciiTheme="minorEastAsia" w:hAnsiTheme="minorEastAsia" w:eastAsiaTheme="minorEastAsia" w:cstheme="minorEastAsia"/>
          <w:b w:val="0"/>
          <w:bCs w:val="0"/>
          <w:sz w:val="24"/>
          <w:szCs w:val="24"/>
        </w:rPr>
        <w:fldChar w:fldCharType="separate"/>
      </w:r>
      <w:r>
        <w:rPr>
          <w:rFonts w:hint="eastAsia" w:asciiTheme="minorEastAsia" w:hAnsiTheme="minorEastAsia" w:eastAsiaTheme="minorEastAsia" w:cstheme="minorEastAsia"/>
          <w:b w:val="0"/>
          <w:bCs w:val="0"/>
          <w:sz w:val="24"/>
          <w:szCs w:val="24"/>
        </w:rPr>
        <w:t>1</w:t>
      </w:r>
      <w:r>
        <w:rPr>
          <w:rFonts w:hint="eastAsia" w:asciiTheme="minorEastAsia" w:hAnsiTheme="minorEastAsia" w:eastAsiaTheme="minorEastAsia" w:cstheme="minorEastAsia"/>
          <w:b w:val="0"/>
          <w:bCs w:val="0"/>
          <w:sz w:val="24"/>
          <w:szCs w:val="24"/>
        </w:rPr>
        <w:fldChar w:fldCharType="end"/>
      </w:r>
      <w:r>
        <w:rPr>
          <w:rFonts w:hint="eastAsia" w:asciiTheme="minorEastAsia" w:hAnsiTheme="minorEastAsia" w:eastAsiaTheme="minorEastAsia" w:cstheme="minorEastAsia"/>
          <w:b/>
          <w:bCs/>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_Toc2784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
          <w:bCs/>
          <w:sz w:val="24"/>
          <w:szCs w:val="24"/>
        </w:rPr>
        <w:t>第一部分</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我校自主开设的通识教育选修课课程简介</w:t>
      </w:r>
      <w:r>
        <w:rPr>
          <w:rFonts w:hint="eastAsia" w:asciiTheme="minorEastAsia" w:hAnsiTheme="minorEastAsia" w:eastAsiaTheme="minorEastAsia" w:cstheme="minorEastAsia"/>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_Toc7455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创新实践与电子系统设计</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_Toc7455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_Toc15640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跟着英语去游学</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_Toc15640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_Toc18557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英美文化之旅</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_Toc18557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_Toc22029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考研英语</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_Toc22029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_Toc23570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大学英语四级培训</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_Toc23570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_Toc24920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插花艺术</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_Toc24920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_Toc20323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楚艺术与设计创新</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_Toc20323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_Toc24988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插画创作</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_Toc24988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_Toc21523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大众艺术体操</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_Toc21523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_Toc1719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舞台主持艺术</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_Toc1719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_Toc98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艺术实践—现代舞</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_Toc3979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艺术实践—钢琴</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_Toc3979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_Toc6853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合唱与指挥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_Toc6853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_Toc1901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大学音乐</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_Toc1901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_Toc11554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艺术实践—吉他</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_Toc11554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bookmarkStart w:id="17" w:name="_GoBack"/>
      <w:bookmarkEnd w:id="17"/>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
          <w:bCs/>
          <w:sz w:val="24"/>
          <w:szCs w:val="24"/>
        </w:rPr>
        <w:t>第二部分</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“智慧树”网络在线通识课（见智慧树网站专属武昌首义学院页面）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第三部分</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“超星尔雅”网络课程（见武昌首义学院网络教学平台）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Theme="minorEastAsia" w:hAnsiTheme="minorEastAsia" w:eastAsiaTheme="minorEastAsia" w:cstheme="minorEastAsia"/>
          <w:sz w:val="24"/>
          <w:szCs w:val="24"/>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ajorEastAsia" w:hAnsiTheme="majorEastAsia" w:eastAsiaTheme="majorEastAsia" w:cstheme="majorEastAsia"/>
          <w:b/>
          <w:bCs/>
          <w:sz w:val="44"/>
          <w:szCs w:val="44"/>
        </w:rPr>
      </w:pPr>
      <w:bookmarkStart w:id="0" w:name="_Toc25462"/>
      <w:r>
        <w:rPr>
          <w:rFonts w:hint="eastAsia" w:asciiTheme="majorEastAsia" w:hAnsiTheme="majorEastAsia" w:eastAsiaTheme="majorEastAsia" w:cstheme="majorEastAsia"/>
          <w:b/>
          <w:bCs/>
          <w:sz w:val="44"/>
          <w:szCs w:val="44"/>
        </w:rPr>
        <w:t>武昌首义学院通识教育选修课程建设</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sz w:val="24"/>
          <w:szCs w:val="24"/>
        </w:rPr>
      </w:pPr>
      <w:r>
        <w:rPr>
          <w:rFonts w:hint="eastAsia" w:asciiTheme="majorEastAsia" w:hAnsiTheme="majorEastAsia" w:eastAsiaTheme="majorEastAsia" w:cstheme="majorEastAsia"/>
          <w:b/>
          <w:bCs/>
          <w:sz w:val="44"/>
          <w:szCs w:val="44"/>
        </w:rPr>
        <w:t>与管理办法</w:t>
      </w:r>
      <w:bookmarkEnd w:id="0"/>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（院教〔2021〕25号）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识教育选修课程（以下简称“通选课”）是本科教学课程体系的重要组成部分，是实施素质教育，完善学生知识结构、开拓学生视野、发展学生综合能力、培育学生健全品格、促进学生全面发展的重要途径。为进一步加强我校通选课的管理，构建符合我校人才培养目标的通识教育选修课程体系，提高教育教学质量，特制定本办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第一条 通选课设置原则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（一）有利于培养学生的人文精神、科学素养、创新意识和实践能力，有利于提升学生的文学涵养和艺术素养，有利于培育学生的健全人格和健康身心。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（二）有利于在人文科学、社会科学和自然科学等领域培养和拓展学生的问题意识与国际视野。应当强化学科交叉、专业融合以及课程的综合性，实现课程模块化，拓宽学生的知识面。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（三）有利于学生在最基本的学科领域掌握认识和改造世界的不同思路、视角与方法。强调课程内容的价值导向性和思想引领性，将培育和践行社会主义核心价值观贯穿课程始终。</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第二条 通选课的模块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（一）按学科类别分为人文科学、社会科学和自然科学三大门类。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文科学课程涵盖文学、历史、哲学等领域，主要对中西文化经典进行解读和讲授，对西方文明及世界文明进行探讨，了解人类历史的变迁和多元化发展，同时对现时代的全球性问题加以关注和探讨，目的在于帮助学生深入认识我国传统文化，培育学生全球视野，提升理解能力、思辨能力和表达沟通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社会科学课程主要以学科前沿理论介绍与现实案例分析相结合的方式，帮助学生进行政治学、经济学、法学、管理学、心理学、文体艺术等基本理论和知识的疏通，引导学生对当代人类行为及社会现实问题的认识和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自然科学课程以数学、物理、化学、生物等学科及工程技术领域为主，帮助学生认识人类自然科学与工程技术的新进展，让学生了解和掌握自然科学研究方法和路径，建立当代科学图景，提高科学素养。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三大学科门类设置八大模块，包括“国学经典与文化传承”、“全球视野与社会发展”、“哲学智慧与批判思维”、“市场经济与公共管理”、“身心健康与艺术修养”、“社会实践与创新创业”、“科学发展与科技创新”、“生态文明与生命关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（二）通选课根据授课形式不同分为校内通选课、网络通选课两大类。校内通选课指按传统课堂上课方式开设的课程，网络通选课指学校签约的网络平台开设的课程、国家精品视频公开课及资源共享课等。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（三）通选课的设置及变更由学校教学指导委员会研究决定，教务处负责组织和实施。</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第三条 通选课的建设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各教学单位要重视通选课的教学，加强通选课建设，推进通选课改革。各教学单位应建立通选课建设的长效机制，组建教学团队，通选课应结合各学科发展的动态和趋势，重视讲授新知识、新信息和新成果，以提高通选课教学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（二）各教学单位开设的通选课应兼顾人文科学、社会科学和自然科学三大学科，比例均衡，满足各专业学生跨学科选修的需要。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（三）要充分利用国家精品开放课程与现代网络资源建设新形式的通选课。</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第四条 通选课开课及选课原则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（一）适宜的各专业任选课程可作通选课，但专业性太强的专业课程不宜作通选课。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（二）原则上通选课在一学期内授完，每门通选课总学时不超过32学时（2学分）。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（三）允许通选课在一周内开设两个不同的课堂；若学期教学周数充足，可以在一个学期中分前后两个阶段分两次开课。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（四）选修人数不足30人或连续两个学期因选课人数不足而停开的课程原则上不开课。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（五）需要进行实验或上机，但硬件条件暂无法保证的通选课暂不开设（具备条件后可重新申报）。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（六）教学效果不好的课程，教务处可决定暂停开课。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（七）通选课的授课对象主要是跨学科学习的学生。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（八）非艺术类专业学生须在“身心健康与艺术修养”模块“艺术修养”课程中至少选修1个学分。学生在修业年限内应至少取得8个通识教育选修学分。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第五条 通选课的申报与审批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（一）各教学单位应依托自身学科特点和优势，积极开发和申报通选课。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（二）各教学单位应指导教师理性申报，一般每学期每位教师开课不得超过 2 门。 避免教师工作量过重精力分散而影响正常教学的质量与效果。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（三）原则上通选课授课教师应具有讲师及以上职称或具有硕士及以上学位。在所研究领域有较好研究成果者亦可申报和开设相关通选课。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（四）校内通选课由教学单位集体申报，按下列步骤进行：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1.申报人填写《武昌首义学院校级通选课申请表》（一式两份），并提供课程教学大纲及教学进度安排表。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2.相关教学单位分管教学负责人或职能部门负责人对申报材料进行审核后提交教务处教务管理科。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3.教务处对申报资格、课程内容、教学大纲和教学进度进行审查，并进行批复。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4.审查合格，教务处对申报的课程予以建库登记。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5.新开设的通选课和首次开设通选课的教师，必须经过教务处组织的试讲环节。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6.通选课的申报手续必须在开课的前一个学期完成。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（五）网络通选课根据学校通修课程建设要求进行遴选。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第六条 通选课教学工作量的计算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通选课教学工作量纳入到教师学年度教学工作量中，按照学校相关规定考核，超额完成工作量按规定发放课酬。</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第七条 通选课的选课与组织管理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（一）教务处完成对所有申报开设的通选课审批后，编制下一学期《通选课选课指南》，发布选课通知，组织学生进行选课。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（二）学生根据选课通知，结合必修课程安排在规定的时间进入学校教务管理系统进行选课。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（三）各学院负责指导学生正确选课, 要求学生选修非本学科的通选课，注重学科之间的交叉融合，鼓励学生多方面发展，以适应社会对人才多样化的需求。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（四）选课结束后，教务处根据规定取消选课人数不足30人或连续两个学期因选课人数不足而停开的校内通选课。对于不符合开课条件的课堂，组织已选该课堂的学生重新选课。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（五）选课学生名单确定后，各任课教师从教务管理系统中导出并打印选课学生名单。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第八条 通选课的教材管理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学校和任课教师不负责订购通选课教材。任课教师可根据授课内容向学生推荐教材，学生有需要可自行购买。</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第九条 通选课的质量管理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（一）通选课享有与专业选修课程同样的地位，其教学规范、质量要求、教学事故的认定和处理等与专业选修课程一致。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（二）任课教师必须认真执行《武昌首义学院教学工作基本规范》，重视教学方法研究，努力提高教学质量。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（三）学校将依据《武昌首义学院教师教学质量评估方案》开展对通选课的质量监控与管理。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（四）任课教师应根据选课学生名单组织教学，不得随意添加学生。加强课堂管理，采用随机点名、课堂回答问题、小作业、小测试等方式检查学生到课情况。</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第十条 通选课的考核管理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（一）通选课考核管理依据《武昌首义学院课程考核管理办法》执行。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（二）原则上所有通选课均为考查课，考查形式采用闭卷、开卷或其他形式均可。每学期课堂考勤至少五次，学生缺课三分之一及以上者，不能评定成绩。</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（三）通选课考核不得占用教学学时。考试安排在课程结束后一周内进行（原节次、地点不变，周次顺延一周）。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第十一条 通选课的成绩管理</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（一）通选课成绩管理依据《武昌首义学院学生成绩管理办法》执行。</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（二）通选课成绩按百分制评定，学生考试及格即可取得相应学分。通选课考试不设补考，考试不及格可以重新选修该门课程或选修其他课程学习。</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第十二条 附则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（一）本规定从公布之日起施行。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（二）原《武昌首义学院校级公共选修课程建设与管理办法》（院教〔2018〕63号）废止。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（三）本规定由教务处负责解释。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48"/>
          <w:szCs w:val="48"/>
        </w:rPr>
      </w:pPr>
      <w:bookmarkStart w:id="1" w:name="_Toc2784"/>
      <w:r>
        <w:rPr>
          <w:rFonts w:hint="eastAsia" w:asciiTheme="minorEastAsia" w:hAnsiTheme="minorEastAsia" w:eastAsiaTheme="minorEastAsia" w:cstheme="minorEastAsia"/>
          <w:b/>
          <w:bCs/>
          <w:sz w:val="48"/>
          <w:szCs w:val="48"/>
        </w:rPr>
        <w:t>第一部分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48"/>
          <w:szCs w:val="48"/>
        </w:rPr>
      </w:pPr>
      <w:r>
        <w:rPr>
          <w:rFonts w:hint="eastAsia" w:asciiTheme="minorEastAsia" w:hAnsiTheme="minorEastAsia" w:eastAsiaTheme="minorEastAsia" w:cstheme="minorEastAsia"/>
          <w:b/>
          <w:bCs/>
          <w:sz w:val="48"/>
          <w:szCs w:val="48"/>
        </w:rPr>
        <w:t>我校自主开设的通识教育选修课</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48"/>
          <w:szCs w:val="4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48"/>
          <w:szCs w:val="48"/>
        </w:rPr>
      </w:pPr>
      <w:r>
        <w:rPr>
          <w:rFonts w:hint="eastAsia" w:asciiTheme="minorEastAsia" w:hAnsiTheme="minorEastAsia" w:eastAsiaTheme="minorEastAsia" w:cstheme="minorEastAsia"/>
          <w:b/>
          <w:bCs/>
          <w:sz w:val="48"/>
          <w:szCs w:val="48"/>
        </w:rPr>
        <w:t>课程简介</w:t>
      </w:r>
      <w:bookmarkEnd w:id="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32"/>
          <w:szCs w:val="32"/>
        </w:rPr>
      </w:pPr>
      <w:bookmarkStart w:id="2" w:name="_Toc7455"/>
      <w:r>
        <w:rPr>
          <w:rFonts w:hint="eastAsia" w:asciiTheme="minorEastAsia" w:hAnsiTheme="minorEastAsia" w:eastAsiaTheme="minorEastAsia" w:cstheme="minorEastAsia"/>
          <w:b/>
          <w:bCs/>
          <w:sz w:val="32"/>
          <w:szCs w:val="32"/>
        </w:rPr>
        <w:t>创新实践与电子系统设计</w:t>
      </w:r>
      <w:bookmarkEnd w:id="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32/2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通信工程、电子信息工程、物联网工程、光电信息科学与工程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课程教学所要达到的目的是培养学生掌握电子线路和单片机设计应用能力，巩固电子线路和单片机等方面的理论知识，加强实践动手能力和创新能力的训练，学会完整的控制电子线路以及单片机小系统设计制作，程序的编写与调试过程，熟练掌握常用仪器仪表等专业设备的使用，培养学生独立设计电子系统能力，为高水平参加全国大学生电子设计竞赛选拔人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1、创新的意义，社会人才需求取向</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大学生电子竞赛简介,仿真软件PROTEUS概述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2、单片机系统概述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、课题项目分析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、一个应用实例的设计与制作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、写出课题设计报告预验收作品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28"/>
          <w:szCs w:val="28"/>
        </w:rPr>
      </w:pPr>
      <w:bookmarkStart w:id="3" w:name="_Toc15640"/>
      <w:r>
        <w:rPr>
          <w:rFonts w:hint="eastAsia" w:asciiTheme="minorEastAsia" w:hAnsiTheme="minorEastAsia" w:eastAsiaTheme="minorEastAsia" w:cstheme="minorEastAsia"/>
          <w:b/>
          <w:bCs/>
          <w:sz w:val="32"/>
          <w:szCs w:val="32"/>
        </w:rPr>
        <w:t>跟着英语去游学</w:t>
      </w:r>
      <w:bookmarkEnd w:id="3"/>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24/1.5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非英语专业学生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拟从英语的实用性出发，从日常生活的各个方面着手为学生提供一个相对真实而完整的语言环境，借助场景听力、话题讨论、课堂展示等活动来丰富学生的场景词汇，从而达到提高学生的口语表达，培养学生用英语思考的课程目标，实现从听力的输入到口语表达的输出，旨在帮助学生积累生活相关的常用词汇，联通书本知识和日常会话，让学生真正爱上开口说英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Chapter 1 New Start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1.1 Arrival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1.2 Rent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1.3 Consultation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1.4 Library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Chapter 2 Necessities for Study and Life</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2.1 Orientation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2.2 Bank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2.3 Shopping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2.4 Activity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Chapter 3 Preparations Before Entering the Workforce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3.1 Traveling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3.2 Health care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3.3 Job hunting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default" w:ascii="Times New Roman" w:hAnsi="Times New Roman" w:cs="Times New Roman" w:eastAsiaTheme="minorEastAsia"/>
          <w:sz w:val="24"/>
          <w:szCs w:val="24"/>
        </w:rPr>
        <w:t xml:space="preserve">3.4 Departure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32"/>
          <w:szCs w:val="32"/>
        </w:rPr>
      </w:pPr>
      <w:bookmarkStart w:id="4" w:name="_Toc18557"/>
      <w:r>
        <w:rPr>
          <w:rFonts w:hint="eastAsia" w:asciiTheme="minorEastAsia" w:hAnsiTheme="minorEastAsia" w:eastAsiaTheme="minorEastAsia" w:cstheme="minorEastAsia"/>
          <w:b/>
          <w:bCs/>
          <w:sz w:val="32"/>
          <w:szCs w:val="32"/>
        </w:rPr>
        <w:t>英美文化之旅</w:t>
      </w:r>
      <w:bookmarkEnd w:id="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24/1.5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非英语专业学生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教学目标：授课老师以在英、美、加、澳四国的学习和生活经历为基础，带领学生深入探索英语国家的文化，为大家开启一场精彩的文化之旅。通过课堂介绍和讨论，激发学生学习和体验世界各地多彩文化的兴趣，拓展其知识面，提高人文素养与艺术鉴赏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2、能力目标：培养学习者对中西方文化的客观理解能力、交际能力、运用能力以及思辨能力。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3、素质目标：增强学习者对文化差异的敏感性、容忍性和处理文化差异的灵活性，进而提高学生人文修养、专业素养，为以后从事文化交流等工作打下基础。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4、思政目标：习得该课程所蕴含的相关文化知识和理论，培育并践行社会主义核心价值观，进而树立学习者的文化自信心，成为具有使命感和社会责任感的中国文化传播者。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Chapter 1 Britain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1.1 History</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1.2 Culture</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1.3 Tourism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Chapter 2 The USA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2.1 Brief History of historical events</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2.2 Critical analysis of American culture</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2.3 Life</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Chapter 3 Canada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3.1 Economy</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3.2 Education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3.3 Tourism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Chapter 4 Australia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4.1 History</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4.2 Culture</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4.3 Tourism and Conservation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sz w:val="24"/>
          <w:szCs w:val="24"/>
        </w:rPr>
      </w:pPr>
      <w:bookmarkStart w:id="5" w:name="_Toc22029"/>
      <w:r>
        <w:rPr>
          <w:rFonts w:hint="eastAsia" w:asciiTheme="minorEastAsia" w:hAnsiTheme="minorEastAsia" w:eastAsiaTheme="minorEastAsia" w:cstheme="minorEastAsia"/>
          <w:b/>
          <w:bCs/>
          <w:sz w:val="32"/>
          <w:szCs w:val="32"/>
        </w:rPr>
        <w:t>考研英语</w:t>
      </w:r>
      <w:bookmarkEnd w:id="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24/1.5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全校学生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旨在为考研学生梳理、解析考研英语各部分题型，帮助学生更好地做好考研英语的复习备考工作，争取在正式的考试中取得好成绩。同时，也以此为切入点，帮助学生巩固所学英语知识，提高语言学习能力和语言运用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第一章 考研英语概述（一）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 考研英语概述（二）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第三章 英语知识运用部分解读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第四章 阅读理解部分 Part A 解读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第五章 阅读理解部分 Part B 解读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第六章 阅读理解部分 Part C 解读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第七章 写作部分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第八章 常用语法（一）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第九章 常用语法（二）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第十章 常用语法（三）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第十一章 真题分析与讲解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第十二章 英语复试内容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sz w:val="24"/>
          <w:szCs w:val="24"/>
        </w:rPr>
      </w:pPr>
      <w:bookmarkStart w:id="6" w:name="_Toc23570"/>
      <w:r>
        <w:rPr>
          <w:rFonts w:hint="eastAsia" w:asciiTheme="minorEastAsia" w:hAnsiTheme="minorEastAsia" w:eastAsiaTheme="minorEastAsia" w:cstheme="minorEastAsia"/>
          <w:b/>
          <w:bCs/>
          <w:sz w:val="32"/>
          <w:szCs w:val="32"/>
        </w:rPr>
        <w:t>大学英语四级培训</w:t>
      </w:r>
      <w:bookmarkEnd w:id="6"/>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24/1.5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非英语专业学生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本课程通过系统学习大学英语四级考试各种题型解题技巧，提升学生英语综合运用能力，包括听力理解、阅读理解、写作和翻译能力，帮助学生顺利通过大学英语四级考试。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第一讲 写作（一）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第二讲 写作（二）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第三讲 听力-短篇新闻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第四讲 听力-长对话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第五讲 翻译（一）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第六讲 翻译（二）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第七讲 长篇阅读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第八讲 选词填空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第九讲 听力-篇章（一）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第十讲 听力-篇章（二）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第十一讲 仔细阅读（一）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第十二讲 仔细阅读（二）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32"/>
          <w:szCs w:val="32"/>
        </w:rPr>
      </w:pPr>
      <w:bookmarkStart w:id="7" w:name="_Toc24920"/>
      <w:r>
        <w:rPr>
          <w:rFonts w:hint="eastAsia" w:asciiTheme="minorEastAsia" w:hAnsiTheme="minorEastAsia" w:eastAsiaTheme="minorEastAsia" w:cstheme="minorEastAsia"/>
          <w:b/>
          <w:bCs/>
          <w:sz w:val="32"/>
          <w:szCs w:val="32"/>
        </w:rPr>
        <w:t>插花艺术</w:t>
      </w:r>
      <w:bookmarkEnd w:id="7"/>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16/1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全校学生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具备较系统的插花基础理论和操作技巧，掌握插花作品的完成规程，提高审美情趣，激发大国工匠精神、筑牢文化自信。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了解插花学科发展趋势，通过对插花作品艺术构思和剪接整形与摆插训练，吸收插花作品创作理念，拓宽专业知识面，提高专业技能，建立职业操守。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1、插花艺术基础知识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2、插花艺术构思设计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3、插花作品制作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4、插花作品制作及展示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sz w:val="24"/>
          <w:szCs w:val="24"/>
        </w:rPr>
      </w:pPr>
      <w:bookmarkStart w:id="8" w:name="_Toc20323"/>
      <w:r>
        <w:rPr>
          <w:rFonts w:hint="eastAsia" w:asciiTheme="minorEastAsia" w:hAnsiTheme="minorEastAsia" w:eastAsiaTheme="minorEastAsia" w:cstheme="minorEastAsia"/>
          <w:b/>
          <w:bCs/>
          <w:sz w:val="32"/>
          <w:szCs w:val="32"/>
        </w:rPr>
        <w:t>楚艺术与设计创新</w:t>
      </w:r>
      <w:bookmarkEnd w:id="8"/>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32/2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全校学生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是以理论和实践为目标的楚艺术教学课程。引导学生理解并掌握楚艺术的表现方式，以及它存在的价值。课程按照理论和实际操作两个环节来设计，学生通过理论学习，将楚艺术青铜纹样融入到现代设计元素中，让学生自己动手制作一些简单的文创手工艺品，课程结合PVC或卡纸、皮革、木头、陶瓷、金属等综合材料，制作首饰、及书签、明信片、摆件等微小型文创衍生品。提高学生的学习兴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1、楚国800年、楚艺术特征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2、石雕、建筑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3、民俗、饮食、节日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4、绘画、岩壁画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5、音乐、舞蹈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6、书法、陶器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7、木雕、竹编、漆器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8、丝织、刺绣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9、纹饰、服饰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10、玉器、琉璃器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11、铜器、金银器、铁器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sz w:val="24"/>
          <w:szCs w:val="24"/>
        </w:rPr>
      </w:pPr>
      <w:bookmarkStart w:id="9" w:name="_Toc24988"/>
      <w:r>
        <w:rPr>
          <w:rFonts w:hint="eastAsia" w:asciiTheme="minorEastAsia" w:hAnsiTheme="minorEastAsia" w:eastAsiaTheme="minorEastAsia" w:cstheme="minorEastAsia"/>
          <w:b/>
          <w:bCs/>
          <w:sz w:val="32"/>
          <w:szCs w:val="32"/>
        </w:rPr>
        <w:t>插画创作</w:t>
      </w:r>
      <w:bookmarkEnd w:id="9"/>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24/1.5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全校学生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课程是以理论和实践为目标的插画教学课程。引导学生理解并掌握插画的创作流程，能够运用造型设计、色彩搭配及手绘技法进创意表达。本课程定位为公共选修课程，因此兼顾不同基础的学习者，通过课程学习，培养学生掌握基本的插画创作审美和能力，为后续的继续学习打下坚实的基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1、课程介绍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2、插画概述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3、插画的分类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4、插画的绘制技法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5、插画的艺术风格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6、插画的创作方法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7、数字插画综合实战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sz w:val="24"/>
          <w:szCs w:val="24"/>
        </w:rPr>
      </w:pPr>
      <w:bookmarkStart w:id="10" w:name="_Toc21523"/>
      <w:r>
        <w:rPr>
          <w:rFonts w:hint="eastAsia" w:asciiTheme="minorEastAsia" w:hAnsiTheme="minorEastAsia" w:eastAsiaTheme="minorEastAsia" w:cstheme="minorEastAsia"/>
          <w:b/>
          <w:bCs/>
          <w:sz w:val="32"/>
          <w:szCs w:val="32"/>
        </w:rPr>
        <w:t>大众艺术体操</w:t>
      </w:r>
      <w:bookmarkEnd w:id="1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24/1.5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艺术团学生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通过大众艺术体操各项基本技术教学，将体操、舞蹈、音乐结合为一体培养学生良好身体姿态及动作的节奏感、韵律感、优美感和表现力。通过教学使同学喜爱这种健身、健美、愉悦身心的运动项目。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第一章 基本姿态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 扶把练习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第三章 徒手练习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第四章 轻器械练习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第五章 成套动作练习</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32"/>
          <w:szCs w:val="32"/>
        </w:rPr>
      </w:pPr>
      <w:bookmarkStart w:id="11" w:name="_Toc1719"/>
      <w:r>
        <w:rPr>
          <w:rFonts w:hint="eastAsia" w:asciiTheme="minorEastAsia" w:hAnsiTheme="minorEastAsia" w:eastAsiaTheme="minorEastAsia" w:cstheme="minorEastAsia"/>
          <w:b/>
          <w:bCs/>
          <w:sz w:val="32"/>
          <w:szCs w:val="32"/>
        </w:rPr>
        <w:t>舞台主持艺术</w:t>
      </w:r>
      <w:bookmarkEnd w:id="1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24/1.5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艺术团学生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通过课程学习，掌握舞台主持的台词技巧，提升舞台主持人的个人气质与艺术修养。学习基本的舞台表演知识，提升舞台表现力，掌控力及表演技巧，提高艺术修养，増强自身综合素质。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1、主持人基本功训练（台词及朗诵）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2、主持人语言训练（绕口令快板等训练）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3、主持人形体训练（站姿及肢体语言训练）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32"/>
          <w:szCs w:val="32"/>
        </w:rPr>
      </w:pPr>
      <w:bookmarkStart w:id="12" w:name="_Toc98"/>
      <w:r>
        <w:rPr>
          <w:rFonts w:hint="eastAsia" w:asciiTheme="minorEastAsia" w:hAnsiTheme="minorEastAsia" w:eastAsiaTheme="minorEastAsia" w:cstheme="minorEastAsia"/>
          <w:b/>
          <w:bCs/>
          <w:sz w:val="32"/>
          <w:szCs w:val="32"/>
        </w:rPr>
        <w:t>艺术实践—现代舞</w:t>
      </w:r>
      <w:bookmarkEnd w:id="1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24/1.5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艺术团学生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通过本课程的学习，掌握现代专业舞蹈技能，掌握训练方法</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提高舞蹈素养。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1、现代舞基本功训练(勾绷脚、擦地、蹲、小踢脚，腰的训练、吸腿、大踢腱的节奏变化训练，训练学生的反应力、动作的灵敏性)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2、专业技能技巧训练(中间动作:大踢腿(前旁后)、基本姿态、舞姿训练、舞蹈技巧训练:身、跳、翻、转、大跳的训练)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3、身段组合训练和即兴表演训练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4、大型活动、比赛的节目编排</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32"/>
          <w:szCs w:val="32"/>
        </w:rPr>
      </w:pPr>
      <w:bookmarkStart w:id="13" w:name="_Toc3979"/>
      <w:r>
        <w:rPr>
          <w:rFonts w:hint="eastAsia" w:asciiTheme="minorEastAsia" w:hAnsiTheme="minorEastAsia" w:eastAsiaTheme="minorEastAsia" w:cstheme="minorEastAsia"/>
          <w:b/>
          <w:bCs/>
          <w:sz w:val="32"/>
          <w:szCs w:val="32"/>
        </w:rPr>
        <w:t>艺术实践—钢琴</w:t>
      </w:r>
      <w:bookmarkEnd w:id="13"/>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24/1.5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艺术团学生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这门课程的学习，要求学生将音乐理论的基本知识和对音乐形象的理解力、表现力以及钢琴弹奏的必要知识、技能技巧这几方面紧密地结合起来，使自身的音乐素质和专业水平得到充实的、全面的提高与发展，具备一定的范奏能力和即兴伴奏能力，达到胜任在大学生艺术活动中的钢琴演奏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1、基本练习：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(1)《哈农》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(2)音阶：二十四个大小调音阶(一个八度)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(3)琶音：主和弦分解、属七和弦和减七和弦分解(一个八度)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2、练习曲：《拜厄基础教程》选曲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3、复调：《巴赫初级钢琴曲集》选曲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4、乐曲：《钢琴基础教程》(一)册选曲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32"/>
          <w:szCs w:val="32"/>
        </w:rPr>
      </w:pPr>
      <w:bookmarkStart w:id="14" w:name="_Toc6853"/>
      <w:r>
        <w:rPr>
          <w:rFonts w:hint="eastAsia" w:asciiTheme="minorEastAsia" w:hAnsiTheme="minorEastAsia" w:eastAsiaTheme="minorEastAsia" w:cstheme="minorEastAsia"/>
          <w:b/>
          <w:bCs/>
          <w:sz w:val="32"/>
          <w:szCs w:val="32"/>
        </w:rPr>
        <w:t>合唱与指挥</w:t>
      </w:r>
      <w:bookmarkEnd w:id="1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24/1.5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艺术团学生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教学，使学生掌握合唱史、合唱风格、合唱作品分析等基本知识。同时要求学生掌握多声部听觉与多声部演唱能力，各种指挥法技巧和合唱训练技巧，最终要求学生能综合运用自己知识和技能担任训练和辅导群众合唱的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乐理、识谱、指挥图式、合唱作品、声乐演唱技巧。</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sz w:val="32"/>
          <w:szCs w:val="32"/>
        </w:rPr>
      </w:pPr>
      <w:bookmarkStart w:id="15" w:name="_Toc1901"/>
      <w:r>
        <w:rPr>
          <w:rFonts w:hint="eastAsia" w:asciiTheme="minorEastAsia" w:hAnsiTheme="minorEastAsia" w:eastAsiaTheme="minorEastAsia" w:cstheme="minorEastAsia"/>
          <w:b/>
          <w:bCs/>
          <w:sz w:val="32"/>
          <w:szCs w:val="32"/>
        </w:rPr>
        <w:t>大学音乐</w:t>
      </w:r>
      <w:bookmarkEnd w:id="1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24/1.5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艺术团学生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通过“基本乐理”“视唱练耳”等章节内容的教学，要求学生掌握基本的音乐理论知识和五线谱，理解掌握理论知识并运用于歌唱之中，能独立视唱难度不是很高的歌曲，具有独立视谱的能力。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第一章 音的概述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 记谱法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第三章 节奏节拍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第四章 常用记号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第五章 音程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第六章 调性、调式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第七章 译谱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第八章 视唱练耳</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Theme="minorEastAsia" w:hAnsiTheme="minorEastAsia" w:eastAsiaTheme="minorEastAsia" w:cstheme="minorEastAsia"/>
          <w:b/>
          <w:bCs/>
          <w:sz w:val="32"/>
          <w:szCs w:val="32"/>
        </w:rPr>
      </w:pPr>
      <w:bookmarkStart w:id="16" w:name="_Toc11554"/>
      <w:r>
        <w:rPr>
          <w:rFonts w:hint="eastAsia" w:asciiTheme="minorEastAsia" w:hAnsiTheme="minorEastAsia" w:eastAsiaTheme="minorEastAsia" w:cstheme="minorEastAsia"/>
          <w:b/>
          <w:bCs/>
          <w:sz w:val="32"/>
          <w:szCs w:val="32"/>
        </w:rPr>
        <w:t>艺术实践—吉他</w:t>
      </w:r>
      <w:bookmarkEnd w:id="16"/>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一、学时与学分：</w:t>
      </w:r>
      <w:r>
        <w:rPr>
          <w:rFonts w:hint="eastAsia" w:asciiTheme="minorEastAsia" w:hAnsiTheme="minorEastAsia" w:eastAsiaTheme="minorEastAsia" w:cstheme="minorEastAsia"/>
          <w:sz w:val="24"/>
          <w:szCs w:val="24"/>
        </w:rPr>
        <w:t>24/1.5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二、适合专业：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艺术团学生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三、课程目标：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通过课程学习，掌握基本的吉他演奏技巧，基本音乐理论知识。提高艺术修养，増强自身综合素质。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1、基本功训练(包括基本乐理)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2、弹唱训练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3、简单纯乐曲演奏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4、合奏训练</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华文隶书">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051B08"/>
    <w:rsid w:val="04D942E1"/>
    <w:rsid w:val="36051B08"/>
    <w:rsid w:val="36244AFC"/>
    <w:rsid w:val="37554613"/>
    <w:rsid w:val="4717684D"/>
    <w:rsid w:val="64D25C64"/>
    <w:rsid w:val="74DC579C"/>
    <w:rsid w:val="7CCC6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spacing w:line="240" w:lineRule="auto"/>
      <w:ind w:leftChars="2500" w:firstLine="0" w:firstLineChars="0"/>
    </w:pPr>
    <w:rPr>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2022-01-14T03:15:00Z</dcterms:created>
  <dc:creator>pc</dc:creator>
  <cp:lastModifiedBy>Administrator</cp:lastModifiedBy>
  <dcterms:modified xsi:type="dcterms:W3CDTF">2022-02-21T11:50:27Z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14438408AE624AFBA93A1B45CB3BEF86</vt:lpwstr>
  </property>
</Properties>
</file>