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2F" w:rsidRPr="00E66C15" w:rsidRDefault="00F1082F" w:rsidP="00E66C15">
      <w:pPr>
        <w:jc w:val="center"/>
        <w:rPr>
          <w:sz w:val="30"/>
          <w:szCs w:val="30"/>
        </w:rPr>
      </w:pPr>
      <w:r w:rsidRPr="00E66C15">
        <w:rPr>
          <w:rFonts w:hint="eastAsia"/>
          <w:sz w:val="30"/>
          <w:szCs w:val="30"/>
        </w:rPr>
        <w:t>财务管理</w:t>
      </w:r>
      <w:r w:rsidR="0060533A">
        <w:rPr>
          <w:rFonts w:hint="eastAsia"/>
          <w:sz w:val="30"/>
          <w:szCs w:val="30"/>
        </w:rPr>
        <w:t>专业</w:t>
      </w:r>
      <w:r w:rsidRPr="00E66C15">
        <w:rPr>
          <w:rFonts w:hint="eastAsia"/>
          <w:sz w:val="30"/>
          <w:szCs w:val="30"/>
        </w:rPr>
        <w:t>专升</w:t>
      </w:r>
      <w:proofErr w:type="gramStart"/>
      <w:r w:rsidRPr="00E66C15">
        <w:rPr>
          <w:rFonts w:hint="eastAsia"/>
          <w:sz w:val="30"/>
          <w:szCs w:val="30"/>
        </w:rPr>
        <w:t>本考试</w:t>
      </w:r>
      <w:proofErr w:type="gramEnd"/>
      <w:r w:rsidRPr="00E66C15">
        <w:rPr>
          <w:rFonts w:hint="eastAsia"/>
          <w:sz w:val="30"/>
          <w:szCs w:val="30"/>
        </w:rPr>
        <w:t>大纲</w:t>
      </w:r>
    </w:p>
    <w:p w:rsidR="00F1082F" w:rsidRDefault="00F1082F"/>
    <w:p w:rsidR="00F1082F" w:rsidRPr="00E66C15" w:rsidRDefault="00F1082F" w:rsidP="00E66C1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/>
          <w:sz w:val="24"/>
        </w:rPr>
      </w:pPr>
      <w:r w:rsidRPr="00E66C15">
        <w:rPr>
          <w:rFonts w:ascii="宋体" w:hAnsi="宋体" w:hint="eastAsia"/>
          <w:sz w:val="24"/>
        </w:rPr>
        <w:t>总体目标</w:t>
      </w:r>
    </w:p>
    <w:p w:rsidR="00F1082F" w:rsidRPr="00E66C15" w:rsidRDefault="00F1082F" w:rsidP="0060533A">
      <w:pPr>
        <w:spacing w:line="360" w:lineRule="auto"/>
        <w:ind w:leftChars="229" w:left="481" w:firstLineChars="200" w:firstLine="480"/>
        <w:rPr>
          <w:rFonts w:asci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大纲是为</w:t>
      </w:r>
      <w:r w:rsidRPr="0076659D">
        <w:rPr>
          <w:rFonts w:ascii="宋体" w:hAnsi="宋体" w:hint="eastAsia"/>
          <w:sz w:val="24"/>
        </w:rPr>
        <w:t>大专毕业生升入本科院校入学考试而制定的。本大纲作为</w:t>
      </w:r>
      <w:r>
        <w:rPr>
          <w:rFonts w:ascii="宋体" w:hAnsi="宋体" w:hint="eastAsia"/>
          <w:sz w:val="24"/>
        </w:rPr>
        <w:t>财务管理专业综合课考试命题的重要依据，力求紧密结合财会</w:t>
      </w:r>
      <w:r w:rsidRPr="0076659D">
        <w:rPr>
          <w:rFonts w:ascii="宋体" w:hAnsi="宋体" w:hint="eastAsia"/>
          <w:sz w:val="24"/>
        </w:rPr>
        <w:t>专业课程的教学内容，强调学生对</w:t>
      </w:r>
      <w:r>
        <w:rPr>
          <w:rFonts w:ascii="宋体" w:hAnsi="宋体" w:hint="eastAsia"/>
          <w:sz w:val="24"/>
        </w:rPr>
        <w:t>财会</w:t>
      </w:r>
      <w:r w:rsidRPr="0076659D">
        <w:rPr>
          <w:rFonts w:ascii="宋体" w:hAnsi="宋体" w:hint="eastAsia"/>
          <w:sz w:val="24"/>
        </w:rPr>
        <w:t>专业基本知识、基本理论的掌握，为学生升入本科后的专业学习打下良好的基础。</w:t>
      </w:r>
    </w:p>
    <w:p w:rsidR="00F1082F" w:rsidRPr="00E66C15" w:rsidRDefault="00F1082F" w:rsidP="00E66C1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/>
          <w:sz w:val="24"/>
        </w:rPr>
      </w:pPr>
      <w:r w:rsidRPr="00E66C15">
        <w:rPr>
          <w:rFonts w:ascii="宋体" w:hAnsi="宋体" w:hint="eastAsia"/>
          <w:sz w:val="24"/>
        </w:rPr>
        <w:t>能力要求</w:t>
      </w:r>
    </w:p>
    <w:p w:rsidR="00F1082F" w:rsidRPr="00E66C15" w:rsidRDefault="00F1082F" w:rsidP="0060533A">
      <w:pPr>
        <w:spacing w:line="360" w:lineRule="auto"/>
        <w:ind w:leftChars="171" w:left="359" w:firstLineChars="100" w:firstLine="24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考生应具备基本的会计核算和账务处理、电算化操作能力，熟悉现代财务管理理论，具备简单的</w:t>
      </w:r>
      <w:r>
        <w:rPr>
          <w:rFonts w:ascii="宋体" w:hAnsi="宋体" w:cs="宋体" w:hint="eastAsia"/>
          <w:kern w:val="0"/>
          <w:sz w:val="24"/>
        </w:rPr>
        <w:t>筹资、投资、分配技能以及财务分析、财务预测与决策能力。</w:t>
      </w:r>
    </w:p>
    <w:p w:rsidR="00F1082F" w:rsidRPr="00E66C15" w:rsidRDefault="00F1082F" w:rsidP="00E66C15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/>
          <w:sz w:val="24"/>
        </w:rPr>
      </w:pPr>
      <w:r w:rsidRPr="00E66C15">
        <w:rPr>
          <w:rFonts w:ascii="宋体" w:hAnsi="宋体" w:hint="eastAsia"/>
          <w:sz w:val="24"/>
        </w:rPr>
        <w:t>考试科目</w:t>
      </w:r>
    </w:p>
    <w:p w:rsidR="00F1082F" w:rsidRPr="00E66C15" w:rsidRDefault="00F1082F" w:rsidP="00E66C15">
      <w:pPr>
        <w:spacing w:line="360" w:lineRule="auto"/>
        <w:ind w:left="480"/>
        <w:rPr>
          <w:rFonts w:ascii="宋体"/>
          <w:sz w:val="24"/>
        </w:rPr>
      </w:pPr>
      <w:r w:rsidRPr="00E66C15">
        <w:rPr>
          <w:rFonts w:ascii="宋体" w:hAnsi="宋体"/>
          <w:sz w:val="24"/>
        </w:rPr>
        <w:t>1.</w:t>
      </w:r>
      <w:r w:rsidRPr="00E66C15">
        <w:rPr>
          <w:rFonts w:ascii="宋体" w:hAnsi="宋体" w:hint="eastAsia"/>
          <w:sz w:val="24"/>
        </w:rPr>
        <w:t>《会计学原理》部分：</w:t>
      </w:r>
    </w:p>
    <w:p w:rsidR="00F1082F" w:rsidRPr="00E66C15" w:rsidRDefault="00F1082F" w:rsidP="0060533A">
      <w:pPr>
        <w:spacing w:line="360" w:lineRule="auto"/>
        <w:ind w:leftChars="229" w:left="481" w:firstLineChars="100" w:firstLine="240"/>
        <w:rPr>
          <w:rFonts w:ascii="宋体"/>
          <w:sz w:val="24"/>
        </w:rPr>
      </w:pPr>
      <w:r w:rsidRPr="00E66C15">
        <w:rPr>
          <w:rFonts w:ascii="宋体" w:hAnsi="宋体" w:hint="eastAsia"/>
          <w:sz w:val="24"/>
        </w:rPr>
        <w:t>考试时间：</w:t>
      </w:r>
      <w:r w:rsidRPr="00E66C15">
        <w:rPr>
          <w:rFonts w:ascii="宋体" w:hAnsi="宋体"/>
          <w:sz w:val="24"/>
        </w:rPr>
        <w:t>120</w:t>
      </w:r>
      <w:r w:rsidRPr="00E66C15">
        <w:rPr>
          <w:rFonts w:ascii="宋体" w:hAnsi="宋体" w:hint="eastAsia"/>
          <w:sz w:val="24"/>
        </w:rPr>
        <w:t>分钟</w:t>
      </w:r>
    </w:p>
    <w:p w:rsidR="00F1082F" w:rsidRDefault="00F1082F" w:rsidP="0060533A">
      <w:pPr>
        <w:spacing w:line="360" w:lineRule="auto"/>
        <w:ind w:leftChars="229" w:left="481" w:firstLineChars="100" w:firstLine="240"/>
        <w:rPr>
          <w:rFonts w:ascii="宋体"/>
          <w:sz w:val="24"/>
        </w:rPr>
      </w:pPr>
      <w:r w:rsidRPr="00E66C15">
        <w:rPr>
          <w:rFonts w:ascii="宋体" w:hAnsi="宋体" w:hint="eastAsia"/>
          <w:sz w:val="24"/>
        </w:rPr>
        <w:t>选用教材：《会计学原理》</w:t>
      </w:r>
      <w:r>
        <w:rPr>
          <w:rFonts w:ascii="宋体" w:hAnsi="宋体" w:hint="eastAsia"/>
          <w:sz w:val="24"/>
        </w:rPr>
        <w:t>（第三版）</w:t>
      </w:r>
      <w:r w:rsidRPr="00E66C15">
        <w:rPr>
          <w:rFonts w:ascii="宋体"/>
          <w:sz w:val="24"/>
        </w:rPr>
        <w:t>.</w:t>
      </w:r>
      <w:r w:rsidRPr="00E66C15">
        <w:rPr>
          <w:rFonts w:ascii="宋体" w:hAnsi="宋体" w:hint="eastAsia"/>
          <w:sz w:val="24"/>
        </w:rPr>
        <w:t>阎德玉</w:t>
      </w:r>
      <w:r w:rsidRPr="00E66C15">
        <w:rPr>
          <w:rFonts w:ascii="宋体"/>
          <w:sz w:val="24"/>
        </w:rPr>
        <w:t>.</w:t>
      </w:r>
      <w:r w:rsidRPr="00E66C15">
        <w:rPr>
          <w:rFonts w:ascii="宋体" w:hAnsi="宋体" w:hint="eastAsia"/>
          <w:sz w:val="24"/>
        </w:rPr>
        <w:t>湖北科学技术出版社</w:t>
      </w:r>
      <w:r w:rsidR="0060533A">
        <w:rPr>
          <w:rFonts w:ascii="宋体" w:hAnsi="宋体" w:hint="eastAsia"/>
          <w:sz w:val="24"/>
        </w:rPr>
        <w:t>，2013</w:t>
      </w:r>
    </w:p>
    <w:p w:rsidR="00F1082F" w:rsidRPr="00E66C15" w:rsidRDefault="00F1082F" w:rsidP="00E66C1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 w:rsidRPr="00E66C15">
        <w:rPr>
          <w:rFonts w:ascii="宋体"/>
          <w:sz w:val="24"/>
        </w:rPr>
        <w:t>.</w:t>
      </w:r>
      <w:r w:rsidRPr="00E66C15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财务管理</w:t>
      </w:r>
      <w:r w:rsidRPr="00E66C15">
        <w:rPr>
          <w:rFonts w:ascii="宋体" w:hAnsi="宋体" w:hint="eastAsia"/>
          <w:sz w:val="24"/>
        </w:rPr>
        <w:t>》部分：</w:t>
      </w:r>
    </w:p>
    <w:p w:rsidR="00F1082F" w:rsidRPr="00E66C15" w:rsidRDefault="00F1082F" w:rsidP="0060533A">
      <w:pPr>
        <w:spacing w:line="360" w:lineRule="auto"/>
        <w:ind w:leftChars="229" w:left="481" w:firstLineChars="100" w:firstLine="240"/>
        <w:rPr>
          <w:rFonts w:ascii="宋体"/>
          <w:sz w:val="24"/>
        </w:rPr>
      </w:pPr>
      <w:r w:rsidRPr="00E66C15">
        <w:rPr>
          <w:rFonts w:ascii="宋体" w:hAnsi="宋体" w:hint="eastAsia"/>
          <w:sz w:val="24"/>
        </w:rPr>
        <w:t>考试时间：</w:t>
      </w:r>
      <w:r w:rsidRPr="00E66C15">
        <w:rPr>
          <w:rFonts w:ascii="宋体" w:hAnsi="宋体"/>
          <w:sz w:val="24"/>
        </w:rPr>
        <w:t>120</w:t>
      </w:r>
      <w:r w:rsidRPr="00E66C15">
        <w:rPr>
          <w:rFonts w:ascii="宋体" w:hAnsi="宋体" w:hint="eastAsia"/>
          <w:sz w:val="24"/>
        </w:rPr>
        <w:t>分钟</w:t>
      </w:r>
    </w:p>
    <w:p w:rsidR="00F1082F" w:rsidRPr="00E66C15" w:rsidRDefault="00F1082F" w:rsidP="0060533A">
      <w:pPr>
        <w:spacing w:line="360" w:lineRule="auto"/>
        <w:ind w:leftChars="229" w:left="481" w:firstLineChars="100" w:firstLine="240"/>
        <w:rPr>
          <w:rFonts w:ascii="宋体"/>
          <w:sz w:val="24"/>
        </w:rPr>
      </w:pPr>
      <w:r w:rsidRPr="000C6D20">
        <w:rPr>
          <w:rFonts w:ascii="宋体" w:hAnsi="宋体" w:hint="eastAsia"/>
          <w:sz w:val="24"/>
        </w:rPr>
        <w:t>选用教材：《财务管理</w:t>
      </w:r>
      <w:r>
        <w:rPr>
          <w:rFonts w:ascii="宋体" w:hAnsi="宋体" w:hint="eastAsia"/>
          <w:sz w:val="24"/>
        </w:rPr>
        <w:t>学</w:t>
      </w:r>
      <w:r w:rsidRPr="000C6D20">
        <w:rPr>
          <w:rFonts w:ascii="宋体" w:hAnsi="宋体" w:hint="eastAsia"/>
          <w:sz w:val="24"/>
        </w:rPr>
        <w:t>》</w:t>
      </w:r>
      <w:r>
        <w:rPr>
          <w:rFonts w:ascii="宋体" w:hAnsi="宋体" w:hint="eastAsia"/>
          <w:sz w:val="24"/>
        </w:rPr>
        <w:t>（第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版）</w:t>
      </w:r>
      <w:r w:rsidRPr="000C6D20">
        <w:rPr>
          <w:rFonts w:ascii="宋体"/>
          <w:sz w:val="24"/>
        </w:rPr>
        <w:t>.</w:t>
      </w:r>
      <w:r w:rsidRPr="000C6D20">
        <w:rPr>
          <w:rFonts w:ascii="宋体" w:hAnsi="宋体" w:hint="eastAsia"/>
          <w:sz w:val="24"/>
        </w:rPr>
        <w:t>谢邦柱</w:t>
      </w:r>
      <w:r w:rsidRPr="000C6D20">
        <w:rPr>
          <w:rFonts w:ascii="宋体"/>
          <w:sz w:val="24"/>
        </w:rPr>
        <w:t>.</w:t>
      </w:r>
      <w:r w:rsidRPr="000C6D20">
        <w:rPr>
          <w:rFonts w:ascii="宋体" w:hAnsi="宋体" w:hint="eastAsia"/>
          <w:sz w:val="24"/>
        </w:rPr>
        <w:t>湖北科学技术出版社</w:t>
      </w:r>
      <w:r w:rsidR="0060533A">
        <w:rPr>
          <w:rFonts w:ascii="宋体" w:hAnsi="宋体" w:hint="eastAsia"/>
          <w:sz w:val="24"/>
        </w:rPr>
        <w:t>,2014</w:t>
      </w:r>
    </w:p>
    <w:p w:rsidR="00F1082F" w:rsidRDefault="00F1082F" w:rsidP="00E66C15">
      <w:pPr>
        <w:spacing w:line="360" w:lineRule="auto"/>
        <w:rPr>
          <w:rFonts w:ascii="宋体"/>
          <w:sz w:val="24"/>
        </w:rPr>
      </w:pP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C621D6">
        <w:rPr>
          <w:rFonts w:ascii="宋体" w:hAnsi="宋体" w:hint="eastAsia"/>
          <w:sz w:val="24"/>
        </w:rPr>
        <w:t>《会计学原理》部分：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sz w:val="24"/>
        </w:rPr>
        <w:t>（一）</w:t>
      </w:r>
      <w:r w:rsidRPr="00C621D6">
        <w:rPr>
          <w:rFonts w:ascii="宋体" w:hAnsi="宋体" w:hint="eastAsia"/>
          <w:color w:val="000000"/>
          <w:sz w:val="24"/>
        </w:rPr>
        <w:t>总论</w:t>
      </w:r>
      <w:r w:rsidRPr="00C621D6">
        <w:rPr>
          <w:rFonts w:ascii="宋体" w:hAnsi="宋体"/>
          <w:color w:val="000000"/>
          <w:sz w:val="24"/>
        </w:rPr>
        <w:t xml:space="preserve">                                    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会计的定义</w:t>
      </w:r>
      <w:r>
        <w:rPr>
          <w:rFonts w:ascii="宋体" w:hAnsi="宋体" w:hint="eastAsia"/>
          <w:color w:val="000000"/>
          <w:sz w:val="24"/>
        </w:rPr>
        <w:t>和内容</w:t>
      </w:r>
    </w:p>
    <w:p w:rsidR="00F1082F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会计职能与会计目标</w:t>
      </w:r>
    </w:p>
    <w:p w:rsidR="00F1082F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会计信息质量</w:t>
      </w:r>
      <w:r>
        <w:rPr>
          <w:rFonts w:ascii="宋体" w:hAnsi="宋体" w:hint="eastAsia"/>
          <w:color w:val="000000"/>
          <w:sz w:val="24"/>
        </w:rPr>
        <w:t>特征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会计基本程序和方法</w:t>
      </w:r>
    </w:p>
    <w:p w:rsidR="00F1082F" w:rsidRPr="007F1DC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</w:t>
      </w:r>
      <w:r w:rsidRPr="00C621D6">
        <w:rPr>
          <w:rFonts w:ascii="宋体" w:hAnsi="宋体" w:hint="eastAsia"/>
          <w:color w:val="000000"/>
          <w:sz w:val="24"/>
        </w:rPr>
        <w:t>会计对象与会计要素</w:t>
      </w:r>
    </w:p>
    <w:p w:rsidR="00F1082F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会计对象</w:t>
      </w:r>
      <w:r>
        <w:rPr>
          <w:rFonts w:ascii="宋体" w:hAnsi="宋体" w:hint="eastAsia"/>
          <w:color w:val="000000"/>
          <w:sz w:val="24"/>
        </w:rPr>
        <w:t>的表现形式</w:t>
      </w:r>
    </w:p>
    <w:p w:rsidR="00F1082F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会计要素</w:t>
      </w:r>
      <w:r>
        <w:rPr>
          <w:rFonts w:ascii="宋体" w:hAnsi="宋体" w:hint="eastAsia"/>
          <w:color w:val="000000"/>
          <w:sz w:val="24"/>
        </w:rPr>
        <w:t>的内容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会计等式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会计基本</w:t>
      </w:r>
      <w:r>
        <w:rPr>
          <w:rFonts w:ascii="宋体" w:hAnsi="宋体" w:hint="eastAsia"/>
          <w:color w:val="000000"/>
          <w:sz w:val="24"/>
        </w:rPr>
        <w:t>假设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lastRenderedPageBreak/>
        <w:t>（</w:t>
      </w:r>
      <w:r>
        <w:rPr>
          <w:rFonts w:ascii="宋体" w:hAnsi="宋体" w:hint="eastAsia"/>
          <w:color w:val="000000"/>
          <w:sz w:val="24"/>
        </w:rPr>
        <w:t>三</w:t>
      </w:r>
      <w:r w:rsidRPr="00C621D6">
        <w:rPr>
          <w:rFonts w:ascii="宋体" w:hAnsi="宋体" w:hint="eastAsia"/>
          <w:color w:val="000000"/>
          <w:sz w:val="24"/>
        </w:rPr>
        <w:t>）会计科目与账户</w:t>
      </w:r>
      <w:r w:rsidRPr="00C621D6">
        <w:rPr>
          <w:rFonts w:ascii="宋体" w:hAnsi="宋体"/>
          <w:color w:val="000000"/>
          <w:sz w:val="24"/>
        </w:rPr>
        <w:t xml:space="preserve">                               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会计科目</w:t>
      </w:r>
      <w:r>
        <w:rPr>
          <w:rFonts w:ascii="宋体" w:hAnsi="宋体" w:hint="eastAsia"/>
          <w:color w:val="000000"/>
          <w:sz w:val="24"/>
        </w:rPr>
        <w:t>的</w:t>
      </w:r>
      <w:r w:rsidRPr="00C621D6">
        <w:rPr>
          <w:rFonts w:ascii="宋体" w:hAnsi="宋体" w:hint="eastAsia"/>
          <w:color w:val="000000"/>
          <w:sz w:val="24"/>
        </w:rPr>
        <w:t>设置原则</w:t>
      </w:r>
      <w:r>
        <w:rPr>
          <w:rFonts w:ascii="宋体" w:hAnsi="宋体" w:hint="eastAsia"/>
          <w:color w:val="000000"/>
          <w:sz w:val="24"/>
        </w:rPr>
        <w:t>及分类</w:t>
      </w:r>
    </w:p>
    <w:p w:rsidR="00F1082F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会计账户及其与会计科目的关系、账户的基本结构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账户体系与分类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四</w:t>
      </w:r>
      <w:r w:rsidRPr="00C621D6">
        <w:rPr>
          <w:rFonts w:ascii="宋体" w:hAnsi="宋体" w:hint="eastAsia"/>
          <w:color w:val="000000"/>
          <w:sz w:val="24"/>
        </w:rPr>
        <w:t>）复式记账</w:t>
      </w:r>
      <w:r w:rsidRPr="00C621D6">
        <w:rPr>
          <w:rFonts w:ascii="宋体" w:hAnsi="宋体"/>
          <w:color w:val="000000"/>
          <w:sz w:val="24"/>
        </w:rPr>
        <w:t xml:space="preserve">                                    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记账方法及单式记账法、复式记账法的特点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借贷记账法的基本内容、会计分录及其编制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 w:rsidRPr="00C621D6">
        <w:rPr>
          <w:rFonts w:ascii="宋体" w:hAnsi="宋体" w:hint="eastAsia"/>
          <w:color w:val="000000"/>
          <w:sz w:val="24"/>
        </w:rPr>
        <w:t>总分类账户、明细分类账户的概念、关系及其平行登记的要点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五</w:t>
      </w:r>
      <w:r w:rsidRPr="00C621D6">
        <w:rPr>
          <w:rFonts w:ascii="宋体" w:hAnsi="宋体" w:hint="eastAsia"/>
          <w:color w:val="000000"/>
          <w:sz w:val="24"/>
        </w:rPr>
        <w:t>）复式记账法的应用</w:t>
      </w:r>
      <w:r w:rsidRPr="00C621D6">
        <w:rPr>
          <w:rFonts w:ascii="宋体" w:hAnsi="宋体"/>
          <w:color w:val="000000"/>
          <w:sz w:val="24"/>
        </w:rPr>
        <w:t xml:space="preserve">                       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经济业务及其与会计要素、会计方程式的关系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组建业务的核算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供应过程的核算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生产过程的核算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销售过程及其财务成果的核算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</w:t>
      </w:r>
      <w:r w:rsidRPr="00C621D6">
        <w:rPr>
          <w:rFonts w:ascii="宋体"/>
          <w:color w:val="000000"/>
          <w:sz w:val="24"/>
        </w:rPr>
        <w:t>.</w:t>
      </w:r>
      <w:r w:rsidRPr="00C621D6">
        <w:rPr>
          <w:rFonts w:ascii="宋体" w:hAnsi="宋体" w:hint="eastAsia"/>
          <w:color w:val="000000"/>
          <w:sz w:val="24"/>
        </w:rPr>
        <w:t>对外投资、债权债务业务的核算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（六）会计凭证</w:t>
      </w:r>
      <w:r w:rsidRPr="00C621D6">
        <w:rPr>
          <w:rFonts w:ascii="宋体" w:hAnsi="宋体"/>
          <w:color w:val="000000"/>
          <w:sz w:val="24"/>
        </w:rPr>
        <w:t xml:space="preserve">                                   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会计凭证及其意义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原始凭证的内容、填制与审核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 w:rsidRPr="00C621D6">
        <w:rPr>
          <w:rFonts w:ascii="宋体" w:hAnsi="宋体" w:hint="eastAsia"/>
          <w:color w:val="000000"/>
          <w:sz w:val="24"/>
        </w:rPr>
        <w:t>记账凭证的内容、填制与审核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4.</w:t>
      </w:r>
      <w:r w:rsidRPr="00C621D6">
        <w:rPr>
          <w:rFonts w:ascii="宋体" w:hAnsi="宋体" w:hint="eastAsia"/>
          <w:color w:val="000000"/>
          <w:sz w:val="24"/>
        </w:rPr>
        <w:t>会计凭证的传递与保管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（七）会计账簿</w:t>
      </w:r>
      <w:r w:rsidRPr="00C621D6">
        <w:rPr>
          <w:rFonts w:ascii="宋体" w:hAnsi="宋体"/>
          <w:color w:val="000000"/>
          <w:sz w:val="24"/>
        </w:rPr>
        <w:t xml:space="preserve">                                  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会计账簿的概念及种类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日记账、总分类账、明细分类账的设置及登记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 w:rsidRPr="00C621D6">
        <w:rPr>
          <w:rFonts w:ascii="宋体" w:hAnsi="宋体" w:hint="eastAsia"/>
          <w:color w:val="000000"/>
          <w:sz w:val="24"/>
        </w:rPr>
        <w:t>账簿登记的一般规则及错账的更正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4.</w:t>
      </w:r>
      <w:r w:rsidRPr="00C621D6">
        <w:rPr>
          <w:rFonts w:ascii="宋体" w:hAnsi="宋体" w:hint="eastAsia"/>
          <w:color w:val="000000"/>
          <w:sz w:val="24"/>
        </w:rPr>
        <w:t>账户记录综合试算的方法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5.</w:t>
      </w:r>
      <w:r>
        <w:rPr>
          <w:rFonts w:ascii="宋体" w:hAnsi="宋体" w:hint="eastAsia"/>
          <w:color w:val="000000"/>
          <w:sz w:val="24"/>
        </w:rPr>
        <w:t>结账</w:t>
      </w:r>
      <w:r w:rsidRPr="00C621D6">
        <w:rPr>
          <w:rFonts w:ascii="宋体" w:hAnsi="宋体" w:hint="eastAsia"/>
          <w:color w:val="000000"/>
          <w:sz w:val="24"/>
        </w:rPr>
        <w:t>及对账的基本内容与要求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（八）财产清查</w:t>
      </w:r>
      <w:r w:rsidRPr="00C621D6">
        <w:rPr>
          <w:rFonts w:ascii="宋体" w:hAnsi="宋体"/>
          <w:color w:val="000000"/>
          <w:sz w:val="24"/>
        </w:rPr>
        <w:t xml:space="preserve">                             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财产清查的概念</w:t>
      </w:r>
      <w:proofErr w:type="gramStart"/>
      <w:r w:rsidRPr="00C621D6">
        <w:rPr>
          <w:rFonts w:ascii="宋体" w:hAnsi="宋体" w:hint="eastAsia"/>
          <w:color w:val="000000"/>
          <w:sz w:val="24"/>
        </w:rPr>
        <w:t>及账实</w:t>
      </w:r>
      <w:proofErr w:type="gramEnd"/>
      <w:r w:rsidRPr="00C621D6">
        <w:rPr>
          <w:rFonts w:ascii="宋体" w:hAnsi="宋体" w:hint="eastAsia"/>
          <w:color w:val="000000"/>
          <w:sz w:val="24"/>
        </w:rPr>
        <w:t>不符的主客观原因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货币资金、存货、固定资产的清算、银行存款余额调节表的编制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 w:rsidRPr="00C621D6">
        <w:rPr>
          <w:rFonts w:ascii="宋体" w:hAnsi="宋体" w:hint="eastAsia"/>
          <w:color w:val="000000"/>
          <w:sz w:val="24"/>
        </w:rPr>
        <w:t>流动资产及固定资产清查结果的账务处理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lastRenderedPageBreak/>
        <w:t>（九）资产计价</w:t>
      </w:r>
      <w:r w:rsidRPr="00C621D6">
        <w:rPr>
          <w:rFonts w:ascii="宋体" w:hAnsi="宋体"/>
          <w:color w:val="000000"/>
          <w:sz w:val="24"/>
        </w:rPr>
        <w:t xml:space="preserve">                               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资产计价的概念、原则及内容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坏账损失的确定及存货的计价方法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 w:rsidRPr="00C621D6">
        <w:rPr>
          <w:rFonts w:ascii="宋体" w:hAnsi="宋体" w:hint="eastAsia"/>
          <w:color w:val="000000"/>
          <w:sz w:val="24"/>
        </w:rPr>
        <w:t>固定资产折旧计提方法的应用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（十）会计报表</w:t>
      </w:r>
      <w:r w:rsidRPr="00C621D6">
        <w:rPr>
          <w:rFonts w:ascii="宋体" w:hAnsi="宋体"/>
          <w:color w:val="000000"/>
          <w:sz w:val="24"/>
        </w:rPr>
        <w:t xml:space="preserve">                                   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会计报表的概念、作用、</w:t>
      </w:r>
      <w:r>
        <w:rPr>
          <w:rFonts w:ascii="宋体" w:hAnsi="宋体" w:hint="eastAsia"/>
          <w:color w:val="000000"/>
          <w:sz w:val="24"/>
        </w:rPr>
        <w:t>编制要求与编制程序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>
        <w:rPr>
          <w:rFonts w:ascii="宋体" w:hAnsi="宋体" w:hint="eastAsia"/>
          <w:color w:val="000000"/>
          <w:sz w:val="24"/>
        </w:rPr>
        <w:t>资产负债表的概念、编制的理论依据及结构和编制方法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>
        <w:rPr>
          <w:rFonts w:ascii="宋体" w:hAnsi="宋体" w:hint="eastAsia"/>
          <w:color w:val="000000"/>
          <w:sz w:val="24"/>
        </w:rPr>
        <w:t>利润表的概念、编制的理论依据及结构和编制方法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4.</w:t>
      </w:r>
      <w:r>
        <w:rPr>
          <w:rFonts w:ascii="宋体" w:hAnsi="宋体" w:hint="eastAsia"/>
          <w:color w:val="000000"/>
          <w:sz w:val="24"/>
        </w:rPr>
        <w:t>现金流量表的概念、编制的理论依据及结构</w:t>
      </w:r>
      <w:bookmarkStart w:id="0" w:name="_GoBack"/>
      <w:bookmarkEnd w:id="0"/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5.</w:t>
      </w:r>
      <w:r w:rsidRPr="00C621D6">
        <w:rPr>
          <w:rFonts w:ascii="宋体" w:hAnsi="宋体" w:hint="eastAsia"/>
          <w:color w:val="000000"/>
          <w:sz w:val="24"/>
        </w:rPr>
        <w:t>账表、表表关系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C621D6">
        <w:rPr>
          <w:rFonts w:ascii="宋体" w:hAnsi="宋体" w:hint="eastAsia"/>
          <w:color w:val="000000"/>
          <w:sz w:val="24"/>
        </w:rPr>
        <w:t>（十一）会计循环与会计核算形式</w:t>
      </w:r>
      <w:r w:rsidRPr="00C621D6">
        <w:rPr>
          <w:rFonts w:ascii="宋体" w:hAnsi="宋体"/>
          <w:color w:val="000000"/>
          <w:sz w:val="24"/>
        </w:rPr>
        <w:t xml:space="preserve">                    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1.</w:t>
      </w:r>
      <w:r w:rsidRPr="00C621D6">
        <w:rPr>
          <w:rFonts w:ascii="宋体" w:hAnsi="宋体" w:hint="eastAsia"/>
          <w:color w:val="000000"/>
          <w:sz w:val="24"/>
        </w:rPr>
        <w:t>会计循环及其一般步骤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2.</w:t>
      </w:r>
      <w:r w:rsidRPr="00C621D6">
        <w:rPr>
          <w:rFonts w:ascii="宋体" w:hAnsi="宋体" w:hint="eastAsia"/>
          <w:color w:val="000000"/>
          <w:sz w:val="24"/>
        </w:rPr>
        <w:t>会计核算形式及基本模式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3.</w:t>
      </w:r>
      <w:r w:rsidRPr="00C621D6">
        <w:rPr>
          <w:rFonts w:ascii="宋体" w:hAnsi="宋体" w:hint="eastAsia"/>
          <w:color w:val="000000"/>
          <w:sz w:val="24"/>
        </w:rPr>
        <w:t>记账凭证核算形式及其账务处理程序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4.</w:t>
      </w:r>
      <w:r w:rsidRPr="00C621D6">
        <w:rPr>
          <w:rFonts w:ascii="宋体" w:hAnsi="宋体" w:hint="eastAsia"/>
          <w:color w:val="000000"/>
          <w:sz w:val="24"/>
        </w:rPr>
        <w:t>科目汇总表核算形式及账务处理程序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5.</w:t>
      </w:r>
      <w:r w:rsidRPr="00C621D6">
        <w:rPr>
          <w:rFonts w:ascii="宋体" w:hAnsi="宋体" w:hint="eastAsia"/>
          <w:color w:val="000000"/>
          <w:sz w:val="24"/>
        </w:rPr>
        <w:t>汇总记账凭证核算形式及账务处理程序</w:t>
      </w:r>
    </w:p>
    <w:p w:rsidR="00F1082F" w:rsidRPr="00C621D6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color w:val="000000"/>
          <w:sz w:val="24"/>
        </w:rPr>
      </w:pPr>
      <w:r w:rsidRPr="00C621D6">
        <w:rPr>
          <w:rFonts w:ascii="宋体" w:hAnsi="宋体"/>
          <w:color w:val="000000"/>
          <w:sz w:val="24"/>
        </w:rPr>
        <w:t>6.</w:t>
      </w:r>
      <w:r w:rsidRPr="00C621D6">
        <w:rPr>
          <w:rFonts w:ascii="宋体" w:hAnsi="宋体" w:hint="eastAsia"/>
          <w:color w:val="000000"/>
          <w:sz w:val="24"/>
        </w:rPr>
        <w:t>日记总账核算形式及账务处理程序</w:t>
      </w:r>
    </w:p>
    <w:p w:rsidR="00F1082F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</w:p>
    <w:p w:rsidR="00F1082F" w:rsidRDefault="00F1082F" w:rsidP="0060533A">
      <w:pPr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《财务管理》部分</w:t>
      </w:r>
    </w:p>
    <w:p w:rsidR="00F1082F" w:rsidRDefault="00F1082F" w:rsidP="000C6D2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财务管理总论</w:t>
      </w:r>
    </w:p>
    <w:p w:rsidR="00F1082F" w:rsidRDefault="00F1082F" w:rsidP="000C6D20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企业财务活动、</w:t>
      </w:r>
      <w:r w:rsidRPr="002619DA">
        <w:rPr>
          <w:rFonts w:ascii="宋体" w:hAnsi="宋体" w:hint="eastAsia"/>
          <w:sz w:val="24"/>
        </w:rPr>
        <w:t>财务关系及财务管理的涵义</w:t>
      </w:r>
    </w:p>
    <w:p w:rsidR="00F1082F" w:rsidRDefault="00F1082F" w:rsidP="000C6D20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财务管理目标及其评价</w:t>
      </w:r>
    </w:p>
    <w:p w:rsidR="00F1082F" w:rsidRDefault="00F1082F" w:rsidP="000C6D20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财务管理的基本环节</w:t>
      </w:r>
    </w:p>
    <w:p w:rsidR="00F1082F" w:rsidRDefault="00F1082F" w:rsidP="000C6D20">
      <w:pPr>
        <w:numPr>
          <w:ilvl w:val="0"/>
          <w:numId w:val="4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财务管理的环境</w:t>
      </w:r>
    </w:p>
    <w:p w:rsidR="00F1082F" w:rsidRDefault="00F1082F" w:rsidP="000C6D2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财务管理的价值观念</w:t>
      </w:r>
    </w:p>
    <w:p w:rsidR="00F1082F" w:rsidRDefault="00F1082F" w:rsidP="000C6D20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资金时间价值的含义</w:t>
      </w:r>
    </w:p>
    <w:p w:rsidR="00F1082F" w:rsidRDefault="00F1082F" w:rsidP="000C6D20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单利、复利终值与现值的计算</w:t>
      </w:r>
    </w:p>
    <w:p w:rsidR="00F1082F" w:rsidRPr="00E062AF" w:rsidRDefault="00F1082F" w:rsidP="000C6D20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年金的含义、种类、终值与现值的计算</w:t>
      </w:r>
    </w:p>
    <w:p w:rsidR="00F1082F" w:rsidRDefault="00F1082F" w:rsidP="000C6D20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名义利率和实际利率的概念</w:t>
      </w:r>
    </w:p>
    <w:p w:rsidR="00F1082F" w:rsidRDefault="00F1082F" w:rsidP="000C6D20">
      <w:pPr>
        <w:numPr>
          <w:ilvl w:val="0"/>
          <w:numId w:val="5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风险的含义、种类及风险程度的衡量指标</w:t>
      </w:r>
    </w:p>
    <w:p w:rsidR="00F1082F" w:rsidRDefault="00F1082F" w:rsidP="000C6D2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筹资管理</w:t>
      </w:r>
    </w:p>
    <w:p w:rsidR="00F1082F" w:rsidRDefault="00F1082F" w:rsidP="000C6D20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筹资的动机</w:t>
      </w:r>
    </w:p>
    <w:p w:rsidR="00F1082F" w:rsidRPr="00B3076D" w:rsidRDefault="00F1082F" w:rsidP="000C6D20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筹资渠道与筹资方式</w:t>
      </w:r>
    </w:p>
    <w:p w:rsidR="00F1082F" w:rsidRDefault="00F1082F" w:rsidP="000C6D20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资金性态模型</w:t>
      </w:r>
    </w:p>
    <w:p w:rsidR="00F1082F" w:rsidRDefault="00F1082F" w:rsidP="000C6D20">
      <w:pPr>
        <w:numPr>
          <w:ilvl w:val="0"/>
          <w:numId w:val="6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权益资金、债务资金的筹资方式及其评价</w:t>
      </w:r>
    </w:p>
    <w:p w:rsidR="00F1082F" w:rsidRDefault="00F1082F" w:rsidP="000C6D2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资金结构管理</w:t>
      </w:r>
    </w:p>
    <w:p w:rsidR="00F1082F" w:rsidRPr="00EB27BC" w:rsidRDefault="00F1082F" w:rsidP="000C6D20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资金成本的概念</w:t>
      </w:r>
    </w:p>
    <w:p w:rsidR="00F1082F" w:rsidRDefault="00F1082F" w:rsidP="000C6D20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宋体"/>
          <w:sz w:val="24"/>
        </w:rPr>
      </w:pPr>
      <w:proofErr w:type="gramStart"/>
      <w:r>
        <w:rPr>
          <w:rFonts w:ascii="宋体" w:hAnsi="宋体" w:hint="eastAsia"/>
          <w:sz w:val="24"/>
        </w:rPr>
        <w:t>个别资金</w:t>
      </w:r>
      <w:proofErr w:type="gramEnd"/>
      <w:r>
        <w:rPr>
          <w:rFonts w:ascii="宋体" w:hAnsi="宋体" w:hint="eastAsia"/>
          <w:sz w:val="24"/>
        </w:rPr>
        <w:t>成本、综合资金成本的计算</w:t>
      </w:r>
    </w:p>
    <w:p w:rsidR="00F1082F" w:rsidRDefault="00F1082F" w:rsidP="000C6D20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杠杆效应的几组基本概念</w:t>
      </w:r>
    </w:p>
    <w:p w:rsidR="00F1082F" w:rsidRDefault="00F1082F" w:rsidP="000C6D20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经营杠杆、财务杠杆和复合杠杆的含义与计算</w:t>
      </w:r>
    </w:p>
    <w:p w:rsidR="00F1082F" w:rsidRDefault="00F1082F" w:rsidP="000C6D20">
      <w:pPr>
        <w:numPr>
          <w:ilvl w:val="0"/>
          <w:numId w:val="7"/>
        </w:numPr>
        <w:adjustRightInd w:val="0"/>
        <w:snapToGrid w:val="0"/>
        <w:spacing w:line="360" w:lineRule="auto"/>
        <w:rPr>
          <w:rFonts w:ascii="宋体"/>
          <w:sz w:val="24"/>
        </w:rPr>
      </w:pPr>
      <w:proofErr w:type="gramStart"/>
      <w:r>
        <w:rPr>
          <w:rFonts w:ascii="宋体" w:hAnsi="宋体" w:hint="eastAsia"/>
          <w:sz w:val="24"/>
        </w:rPr>
        <w:t>最佳资金</w:t>
      </w:r>
      <w:proofErr w:type="gramEnd"/>
      <w:r>
        <w:rPr>
          <w:rFonts w:ascii="宋体" w:hAnsi="宋体" w:hint="eastAsia"/>
          <w:sz w:val="24"/>
        </w:rPr>
        <w:t>结构的确定方法</w:t>
      </w:r>
    </w:p>
    <w:p w:rsidR="00F1082F" w:rsidRDefault="00F1082F" w:rsidP="000C6D2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/>
          <w:sz w:val="24"/>
        </w:rPr>
      </w:pPr>
      <w:r w:rsidRPr="006E4E9A">
        <w:rPr>
          <w:rFonts w:ascii="宋体" w:hAnsi="宋体" w:hint="eastAsia"/>
          <w:sz w:val="24"/>
        </w:rPr>
        <w:t>营运资金管理</w:t>
      </w:r>
    </w:p>
    <w:p w:rsidR="00F1082F" w:rsidRDefault="00F1082F" w:rsidP="000C6D20">
      <w:pPr>
        <w:numPr>
          <w:ilvl w:val="0"/>
          <w:numId w:val="8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营运资金的含义及特点</w:t>
      </w:r>
    </w:p>
    <w:p w:rsidR="00F1082F" w:rsidRDefault="00F1082F" w:rsidP="000C6D20">
      <w:pPr>
        <w:numPr>
          <w:ilvl w:val="0"/>
          <w:numId w:val="8"/>
        </w:numPr>
        <w:adjustRightInd w:val="0"/>
        <w:snapToGrid w:val="0"/>
        <w:spacing w:line="360" w:lineRule="auto"/>
        <w:rPr>
          <w:rFonts w:ascii="宋体"/>
          <w:sz w:val="24"/>
        </w:rPr>
      </w:pPr>
      <w:r w:rsidRPr="002619DA">
        <w:rPr>
          <w:rFonts w:ascii="宋体" w:hAnsi="宋体" w:hint="eastAsia"/>
          <w:sz w:val="24"/>
        </w:rPr>
        <w:t>现金的</w:t>
      </w:r>
      <w:r>
        <w:rPr>
          <w:rFonts w:ascii="宋体" w:hAnsi="宋体" w:hint="eastAsia"/>
          <w:sz w:val="24"/>
        </w:rPr>
        <w:t>成本及最佳现金持有量的确定方法</w:t>
      </w:r>
    </w:p>
    <w:p w:rsidR="00F1082F" w:rsidRDefault="00F1082F" w:rsidP="000C6D20">
      <w:pPr>
        <w:numPr>
          <w:ilvl w:val="0"/>
          <w:numId w:val="8"/>
        </w:numPr>
        <w:adjustRightInd w:val="0"/>
        <w:snapToGrid w:val="0"/>
        <w:spacing w:line="360" w:lineRule="auto"/>
        <w:rPr>
          <w:rFonts w:ascii="宋体"/>
          <w:sz w:val="24"/>
        </w:rPr>
      </w:pPr>
      <w:r w:rsidRPr="002619DA">
        <w:rPr>
          <w:rFonts w:ascii="宋体" w:hAnsi="宋体" w:hint="eastAsia"/>
          <w:sz w:val="24"/>
        </w:rPr>
        <w:t>应收账款成本</w:t>
      </w:r>
      <w:r>
        <w:rPr>
          <w:rFonts w:ascii="宋体" w:hAnsi="宋体" w:hint="eastAsia"/>
          <w:sz w:val="24"/>
        </w:rPr>
        <w:t>、应收账款信用标准</w:t>
      </w:r>
      <w:r w:rsidRPr="002619DA">
        <w:rPr>
          <w:rFonts w:ascii="宋体" w:hAnsi="宋体" w:hint="eastAsia"/>
          <w:sz w:val="24"/>
        </w:rPr>
        <w:t>的选择</w:t>
      </w:r>
    </w:p>
    <w:p w:rsidR="00F1082F" w:rsidRDefault="00F1082F" w:rsidP="000C6D20">
      <w:pPr>
        <w:numPr>
          <w:ilvl w:val="0"/>
          <w:numId w:val="8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存货成本</w:t>
      </w:r>
    </w:p>
    <w:p w:rsidR="00F1082F" w:rsidRDefault="00F1082F" w:rsidP="000C6D2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证券投资管理</w:t>
      </w:r>
    </w:p>
    <w:p w:rsidR="00F1082F" w:rsidRDefault="00F1082F" w:rsidP="000C6D20">
      <w:pPr>
        <w:numPr>
          <w:ilvl w:val="0"/>
          <w:numId w:val="9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证券投资概念、目的、分类、特点</w:t>
      </w:r>
    </w:p>
    <w:p w:rsidR="00F1082F" w:rsidRDefault="00F1082F" w:rsidP="000C6D20">
      <w:pPr>
        <w:numPr>
          <w:ilvl w:val="0"/>
          <w:numId w:val="9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债券投资的优缺点</w:t>
      </w:r>
    </w:p>
    <w:p w:rsidR="00F1082F" w:rsidRPr="00380078" w:rsidRDefault="00F1082F" w:rsidP="000C6D20">
      <w:pPr>
        <w:numPr>
          <w:ilvl w:val="0"/>
          <w:numId w:val="9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股票投资的优缺点</w:t>
      </w:r>
    </w:p>
    <w:p w:rsidR="00F1082F" w:rsidRDefault="00F1082F" w:rsidP="000C6D20">
      <w:pPr>
        <w:numPr>
          <w:ilvl w:val="0"/>
          <w:numId w:val="9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基金投资的含义和种类</w:t>
      </w:r>
    </w:p>
    <w:p w:rsidR="00F1082F" w:rsidRDefault="00F1082F" w:rsidP="000C6D2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项目投资管理</w:t>
      </w:r>
    </w:p>
    <w:p w:rsidR="00F1082F" w:rsidRDefault="00F1082F" w:rsidP="000C6D20">
      <w:pPr>
        <w:numPr>
          <w:ilvl w:val="0"/>
          <w:numId w:val="10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项目投资的定义、特点、计算期及建设期</w:t>
      </w:r>
    </w:p>
    <w:p w:rsidR="00F1082F" w:rsidRDefault="00F1082F" w:rsidP="000C6D20">
      <w:pPr>
        <w:numPr>
          <w:ilvl w:val="0"/>
          <w:numId w:val="10"/>
        </w:numPr>
        <w:adjustRightInd w:val="0"/>
        <w:snapToGrid w:val="0"/>
        <w:spacing w:line="360" w:lineRule="auto"/>
        <w:rPr>
          <w:rFonts w:ascii="宋体"/>
          <w:sz w:val="24"/>
        </w:rPr>
      </w:pPr>
      <w:r w:rsidRPr="002619DA">
        <w:rPr>
          <w:rFonts w:ascii="宋体" w:hAnsi="宋体" w:hint="eastAsia"/>
          <w:sz w:val="24"/>
        </w:rPr>
        <w:t>现金流量的</w:t>
      </w:r>
      <w:r>
        <w:rPr>
          <w:rFonts w:ascii="宋体" w:hAnsi="宋体" w:hint="eastAsia"/>
          <w:sz w:val="24"/>
        </w:rPr>
        <w:t>构成与</w:t>
      </w:r>
      <w:r w:rsidRPr="002619DA">
        <w:rPr>
          <w:rFonts w:ascii="宋体" w:hAnsi="宋体" w:hint="eastAsia"/>
          <w:sz w:val="24"/>
        </w:rPr>
        <w:t>估</w:t>
      </w:r>
      <w:r>
        <w:rPr>
          <w:rFonts w:ascii="宋体" w:hAnsi="宋体" w:hint="eastAsia"/>
          <w:sz w:val="24"/>
        </w:rPr>
        <w:t>算</w:t>
      </w:r>
    </w:p>
    <w:p w:rsidR="00F1082F" w:rsidRDefault="00F1082F" w:rsidP="000C6D20">
      <w:pPr>
        <w:numPr>
          <w:ilvl w:val="0"/>
          <w:numId w:val="10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项目投资非贴现指标及计算</w:t>
      </w:r>
    </w:p>
    <w:p w:rsidR="00F1082F" w:rsidRDefault="00F1082F" w:rsidP="000C6D20">
      <w:pPr>
        <w:numPr>
          <w:ilvl w:val="0"/>
          <w:numId w:val="10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净现值法、现值指数法、内含报酬率法的计算</w:t>
      </w:r>
    </w:p>
    <w:p w:rsidR="00F1082F" w:rsidRDefault="00F1082F" w:rsidP="000C6D2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收益分配管理</w:t>
      </w:r>
    </w:p>
    <w:p w:rsidR="00F1082F" w:rsidRDefault="00F1082F" w:rsidP="000C6D20">
      <w:pPr>
        <w:numPr>
          <w:ilvl w:val="0"/>
          <w:numId w:val="11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收益分配的内容与程序</w:t>
      </w:r>
    </w:p>
    <w:p w:rsidR="00F1082F" w:rsidRDefault="00F1082F" w:rsidP="000C6D20">
      <w:pPr>
        <w:numPr>
          <w:ilvl w:val="0"/>
          <w:numId w:val="11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股利政策的类型</w:t>
      </w:r>
    </w:p>
    <w:p w:rsidR="00F1082F" w:rsidRDefault="00F1082F" w:rsidP="000C6D20">
      <w:pPr>
        <w:numPr>
          <w:ilvl w:val="0"/>
          <w:numId w:val="11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股利支付形式与支付程序</w:t>
      </w:r>
    </w:p>
    <w:p w:rsidR="00F1082F" w:rsidRDefault="00F1082F" w:rsidP="000C6D2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财务分析</w:t>
      </w:r>
    </w:p>
    <w:p w:rsidR="00F1082F" w:rsidRDefault="00F1082F" w:rsidP="000C6D20">
      <w:pPr>
        <w:numPr>
          <w:ilvl w:val="0"/>
          <w:numId w:val="12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财务分析指标的类型</w:t>
      </w:r>
    </w:p>
    <w:p w:rsidR="00F1082F" w:rsidRDefault="00F1082F" w:rsidP="000C6D20">
      <w:pPr>
        <w:numPr>
          <w:ilvl w:val="0"/>
          <w:numId w:val="12"/>
        </w:numPr>
        <w:adjustRightInd w:val="0"/>
        <w:snapToGrid w:val="0"/>
        <w:spacing w:line="360" w:lineRule="auto"/>
        <w:rPr>
          <w:rFonts w:ascii="宋体"/>
          <w:sz w:val="24"/>
        </w:rPr>
      </w:pPr>
      <w:r w:rsidRPr="002619DA">
        <w:rPr>
          <w:rFonts w:ascii="宋体" w:hAnsi="宋体" w:hint="eastAsia"/>
          <w:sz w:val="24"/>
        </w:rPr>
        <w:t>偿债能力、营运能力、盈利能力</w:t>
      </w:r>
      <w:r>
        <w:rPr>
          <w:rFonts w:ascii="宋体" w:hAnsi="宋体" w:hint="eastAsia"/>
          <w:sz w:val="24"/>
        </w:rPr>
        <w:t>、发展能力</w:t>
      </w:r>
      <w:r w:rsidRPr="002619DA">
        <w:rPr>
          <w:rFonts w:ascii="宋体" w:hAnsi="宋体" w:hint="eastAsia"/>
          <w:sz w:val="24"/>
        </w:rPr>
        <w:t>指标的计算</w:t>
      </w:r>
      <w:r>
        <w:rPr>
          <w:rFonts w:ascii="宋体" w:hAnsi="宋体" w:hint="eastAsia"/>
          <w:sz w:val="24"/>
        </w:rPr>
        <w:t>与分析</w:t>
      </w:r>
    </w:p>
    <w:p w:rsidR="00F1082F" w:rsidRPr="00C621D6" w:rsidRDefault="00F1082F" w:rsidP="000C6D20">
      <w:pPr>
        <w:numPr>
          <w:ilvl w:val="0"/>
          <w:numId w:val="12"/>
        </w:numPr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杜邦分析体系</w:t>
      </w:r>
    </w:p>
    <w:sectPr w:rsidR="00F1082F" w:rsidRPr="00C621D6" w:rsidSect="00BF013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0E" w:rsidRDefault="0079660E" w:rsidP="007F1DC6">
      <w:r>
        <w:separator/>
      </w:r>
    </w:p>
  </w:endnote>
  <w:endnote w:type="continuationSeparator" w:id="0">
    <w:p w:rsidR="0079660E" w:rsidRDefault="0079660E" w:rsidP="007F1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0E" w:rsidRDefault="0079660E" w:rsidP="007F1DC6">
      <w:r>
        <w:separator/>
      </w:r>
    </w:p>
  </w:footnote>
  <w:footnote w:type="continuationSeparator" w:id="0">
    <w:p w:rsidR="0079660E" w:rsidRDefault="0079660E" w:rsidP="007F1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F" w:rsidRDefault="00F1082F" w:rsidP="001D332B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0D5"/>
    <w:multiLevelType w:val="hybridMultilevel"/>
    <w:tmpl w:val="DCAAF56A"/>
    <w:lvl w:ilvl="0" w:tplc="53A2C9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>
    <w:nsid w:val="04B67817"/>
    <w:multiLevelType w:val="hybridMultilevel"/>
    <w:tmpl w:val="54469244"/>
    <w:lvl w:ilvl="0" w:tplc="AEA0AE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>
    <w:nsid w:val="20580313"/>
    <w:multiLevelType w:val="hybridMultilevel"/>
    <w:tmpl w:val="7EBEC030"/>
    <w:lvl w:ilvl="0" w:tplc="B218B0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>
    <w:nsid w:val="3E48046D"/>
    <w:multiLevelType w:val="hybridMultilevel"/>
    <w:tmpl w:val="D4F66C96"/>
    <w:lvl w:ilvl="0" w:tplc="855A5A8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>
    <w:nsid w:val="4E060D5D"/>
    <w:multiLevelType w:val="hybridMultilevel"/>
    <w:tmpl w:val="A50ADD12"/>
    <w:lvl w:ilvl="0" w:tplc="527E3632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5">
    <w:nsid w:val="550857C1"/>
    <w:multiLevelType w:val="hybridMultilevel"/>
    <w:tmpl w:val="DE6EA796"/>
    <w:lvl w:ilvl="0" w:tplc="A1B08D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6">
    <w:nsid w:val="551D7041"/>
    <w:multiLevelType w:val="hybridMultilevel"/>
    <w:tmpl w:val="D0340534"/>
    <w:lvl w:ilvl="0" w:tplc="4214524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>
    <w:nsid w:val="59FF527B"/>
    <w:multiLevelType w:val="hybridMultilevel"/>
    <w:tmpl w:val="B7E2FD5E"/>
    <w:lvl w:ilvl="0" w:tplc="FF40EA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8">
    <w:nsid w:val="5E4E2481"/>
    <w:multiLevelType w:val="hybridMultilevel"/>
    <w:tmpl w:val="2794AFC4"/>
    <w:lvl w:ilvl="0" w:tplc="A27A94A6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9">
    <w:nsid w:val="679E5442"/>
    <w:multiLevelType w:val="hybridMultilevel"/>
    <w:tmpl w:val="22E4D904"/>
    <w:lvl w:ilvl="0" w:tplc="B382F5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>
    <w:nsid w:val="698301CB"/>
    <w:multiLevelType w:val="hybridMultilevel"/>
    <w:tmpl w:val="4D287F94"/>
    <w:lvl w:ilvl="0" w:tplc="3BDA8106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1">
    <w:nsid w:val="74B807CA"/>
    <w:multiLevelType w:val="hybridMultilevel"/>
    <w:tmpl w:val="7F382CA8"/>
    <w:lvl w:ilvl="0" w:tplc="290897A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C15"/>
    <w:rsid w:val="000C6D20"/>
    <w:rsid w:val="000E2639"/>
    <w:rsid w:val="001904C2"/>
    <w:rsid w:val="001D332B"/>
    <w:rsid w:val="00207622"/>
    <w:rsid w:val="002619DA"/>
    <w:rsid w:val="002B3042"/>
    <w:rsid w:val="00335A4D"/>
    <w:rsid w:val="00380078"/>
    <w:rsid w:val="004209FC"/>
    <w:rsid w:val="00427522"/>
    <w:rsid w:val="0055558B"/>
    <w:rsid w:val="005932F6"/>
    <w:rsid w:val="0060533A"/>
    <w:rsid w:val="00683941"/>
    <w:rsid w:val="00685F88"/>
    <w:rsid w:val="006D1A66"/>
    <w:rsid w:val="006E4E9A"/>
    <w:rsid w:val="007478DB"/>
    <w:rsid w:val="0076659D"/>
    <w:rsid w:val="0079660E"/>
    <w:rsid w:val="007F1DC6"/>
    <w:rsid w:val="00816EF2"/>
    <w:rsid w:val="0083418D"/>
    <w:rsid w:val="00907744"/>
    <w:rsid w:val="00AC4B19"/>
    <w:rsid w:val="00AD6672"/>
    <w:rsid w:val="00B3076D"/>
    <w:rsid w:val="00B63C9D"/>
    <w:rsid w:val="00BB4490"/>
    <w:rsid w:val="00BF013E"/>
    <w:rsid w:val="00C076E8"/>
    <w:rsid w:val="00C23595"/>
    <w:rsid w:val="00C621D6"/>
    <w:rsid w:val="00E062AF"/>
    <w:rsid w:val="00E40FDD"/>
    <w:rsid w:val="00E66C15"/>
    <w:rsid w:val="00E75FE8"/>
    <w:rsid w:val="00EB27BC"/>
    <w:rsid w:val="00F1082F"/>
    <w:rsid w:val="00F1731D"/>
    <w:rsid w:val="00FD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6C15"/>
    <w:pPr>
      <w:ind w:firstLineChars="200" w:firstLine="420"/>
    </w:pPr>
  </w:style>
  <w:style w:type="paragraph" w:styleId="a4">
    <w:name w:val="header"/>
    <w:basedOn w:val="a"/>
    <w:link w:val="Char"/>
    <w:uiPriority w:val="99"/>
    <w:rsid w:val="007F1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7F1DC6"/>
    <w:rPr>
      <w:rFonts w:cs="Times New Roman"/>
      <w:sz w:val="18"/>
    </w:rPr>
  </w:style>
  <w:style w:type="paragraph" w:styleId="a5">
    <w:name w:val="footer"/>
    <w:basedOn w:val="a"/>
    <w:link w:val="Char0"/>
    <w:uiPriority w:val="99"/>
    <w:rsid w:val="007F1DC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7F1DC6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 User</cp:lastModifiedBy>
  <cp:revision>9</cp:revision>
  <dcterms:created xsi:type="dcterms:W3CDTF">2016-05-04T01:17:00Z</dcterms:created>
  <dcterms:modified xsi:type="dcterms:W3CDTF">2018-05-03T02:41:00Z</dcterms:modified>
</cp:coreProperties>
</file>